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790" w:rsidRDefault="00583790" w:rsidP="009C652C">
      <w:pPr>
        <w:pStyle w:val="BodyTable"/>
        <w:spacing w:before="0" w:line="360" w:lineRule="auto"/>
        <w:ind w:right="30"/>
        <w:jc w:val="center"/>
        <w:rPr>
          <w:b/>
          <w:sz w:val="28"/>
        </w:rPr>
      </w:pPr>
      <w:r>
        <w:rPr>
          <w:b/>
          <w:sz w:val="28"/>
        </w:rPr>
        <w:t>Ministero dell’Economia e delle Finanze</w:t>
      </w:r>
    </w:p>
    <w:p w:rsidR="00583790" w:rsidRDefault="00583790" w:rsidP="009C652C">
      <w:pPr>
        <w:pStyle w:val="BodyText"/>
        <w:spacing w:line="360" w:lineRule="auto"/>
        <w:rPr>
          <w:rFonts w:ascii="Arial Narrow" w:hAnsi="Arial Narrow"/>
          <w:sz w:val="16"/>
        </w:rPr>
      </w:pPr>
      <w:r>
        <w:rPr>
          <w:rFonts w:ascii="Arial Narrow" w:hAnsi="Arial Narrow"/>
          <w:sz w:val="16"/>
        </w:rPr>
        <w:t xml:space="preserve">DIPARTIMENTO DELL’AMMINISTRAZIONE GENERALE, DEL PERSONALE E DEI SERVIZI </w:t>
      </w:r>
    </w:p>
    <w:p w:rsidR="00583790" w:rsidRDefault="00583790" w:rsidP="009C652C">
      <w:pPr>
        <w:spacing w:line="360" w:lineRule="auto"/>
        <w:jc w:val="center"/>
        <w:rPr>
          <w:rFonts w:ascii="Arial Narrow" w:hAnsi="Arial Narrow"/>
          <w:sz w:val="16"/>
        </w:rPr>
      </w:pPr>
      <w:r>
        <w:rPr>
          <w:rFonts w:ascii="Arial Narrow" w:hAnsi="Arial Narrow"/>
          <w:sz w:val="16"/>
        </w:rPr>
        <w:t>DIREZIONE CENTRALE DEI SISTEMI INFORMATIVI E DELL’INNOVAZIONE</w:t>
      </w:r>
    </w:p>
    <w:p w:rsidR="00583790" w:rsidRDefault="00583790" w:rsidP="009C652C">
      <w:pPr>
        <w:spacing w:line="360" w:lineRule="auto"/>
        <w:jc w:val="center"/>
        <w:rPr>
          <w:rFonts w:ascii="Arial Narrow" w:hAnsi="Arial Narrow"/>
          <w:sz w:val="16"/>
        </w:rPr>
      </w:pPr>
      <w:r w:rsidRPr="00A82812">
        <w:rPr>
          <w:rFonts w:ascii="Arial Narrow" w:hAnsi="Arial Narrow"/>
          <w:noProof/>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NoiPA" style="width:132pt;height:48pt;visibility:visible">
            <v:imagedata r:id="rId7" o:title=""/>
          </v:shape>
        </w:pict>
      </w:r>
    </w:p>
    <w:p w:rsidR="00583790" w:rsidRDefault="00583790" w:rsidP="009C652C">
      <w:pPr>
        <w:spacing w:line="360" w:lineRule="auto"/>
        <w:jc w:val="center"/>
        <w:rPr>
          <w:rFonts w:ascii="Arial Narrow" w:hAnsi="Arial Narrow"/>
          <w:sz w:val="16"/>
        </w:rPr>
      </w:pPr>
    </w:p>
    <w:tbl>
      <w:tblPr>
        <w:tblW w:w="0" w:type="auto"/>
        <w:tblCellMar>
          <w:left w:w="0" w:type="dxa"/>
          <w:right w:w="0" w:type="dxa"/>
        </w:tblCellMar>
        <w:tblLook w:val="0000"/>
      </w:tblPr>
      <w:tblGrid>
        <w:gridCol w:w="1269"/>
        <w:gridCol w:w="4119"/>
      </w:tblGrid>
      <w:tr w:rsidR="00583790" w:rsidTr="001A4AFD">
        <w:tc>
          <w:tcPr>
            <w:tcW w:w="1269" w:type="dxa"/>
            <w:tcBorders>
              <w:top w:val="double" w:sz="4" w:space="0" w:color="000080"/>
              <w:left w:val="double" w:sz="4" w:space="0" w:color="000080"/>
              <w:bottom w:val="single" w:sz="8" w:space="0" w:color="000080"/>
              <w:right w:val="single" w:sz="8" w:space="0" w:color="000080"/>
            </w:tcBorders>
            <w:shd w:val="clear" w:color="auto" w:fill="FCC25A"/>
            <w:tcMar>
              <w:top w:w="0" w:type="dxa"/>
              <w:left w:w="108" w:type="dxa"/>
              <w:bottom w:w="0" w:type="dxa"/>
              <w:right w:w="108" w:type="dxa"/>
            </w:tcMar>
          </w:tcPr>
          <w:p w:rsidR="00583790" w:rsidRDefault="00583790">
            <w:pPr>
              <w:rPr>
                <w:sz w:val="24"/>
                <w:szCs w:val="24"/>
              </w:rPr>
            </w:pPr>
            <w:r>
              <w:rPr>
                <w:sz w:val="24"/>
                <w:szCs w:val="24"/>
              </w:rPr>
              <w:t>Data</w:t>
            </w:r>
          </w:p>
        </w:tc>
        <w:tc>
          <w:tcPr>
            <w:tcW w:w="4119" w:type="dxa"/>
            <w:tcBorders>
              <w:top w:val="double" w:sz="4" w:space="0" w:color="000080"/>
              <w:left w:val="nil"/>
              <w:bottom w:val="single" w:sz="8" w:space="0" w:color="000080"/>
              <w:right w:val="double" w:sz="4" w:space="0" w:color="000080"/>
            </w:tcBorders>
            <w:tcMar>
              <w:top w:w="0" w:type="dxa"/>
              <w:left w:w="108" w:type="dxa"/>
              <w:bottom w:w="0" w:type="dxa"/>
              <w:right w:w="108" w:type="dxa"/>
            </w:tcMar>
          </w:tcPr>
          <w:p w:rsidR="00583790" w:rsidRPr="00DD3C48" w:rsidRDefault="00583790" w:rsidP="001508A2">
            <w:pPr>
              <w:rPr>
                <w:b/>
                <w:bCs/>
                <w:sz w:val="24"/>
                <w:szCs w:val="24"/>
              </w:rPr>
            </w:pPr>
            <w:r>
              <w:rPr>
                <w:b/>
                <w:bCs/>
                <w:sz w:val="24"/>
                <w:szCs w:val="24"/>
              </w:rPr>
              <w:t>Roma, 9 maggio 2014</w:t>
            </w:r>
          </w:p>
        </w:tc>
      </w:tr>
      <w:tr w:rsidR="00583790" w:rsidTr="001A4AFD">
        <w:tc>
          <w:tcPr>
            <w:tcW w:w="1269" w:type="dxa"/>
            <w:tcBorders>
              <w:top w:val="nil"/>
              <w:left w:val="double" w:sz="4" w:space="0" w:color="000080"/>
              <w:bottom w:val="single" w:sz="8" w:space="0" w:color="000080"/>
              <w:right w:val="single" w:sz="8" w:space="0" w:color="000080"/>
            </w:tcBorders>
            <w:shd w:val="clear" w:color="auto" w:fill="FCC25A"/>
            <w:tcMar>
              <w:top w:w="0" w:type="dxa"/>
              <w:left w:w="108" w:type="dxa"/>
              <w:bottom w:w="0" w:type="dxa"/>
              <w:right w:w="108" w:type="dxa"/>
            </w:tcMar>
          </w:tcPr>
          <w:p w:rsidR="00583790" w:rsidRDefault="00583790">
            <w:pPr>
              <w:rPr>
                <w:sz w:val="24"/>
                <w:szCs w:val="24"/>
              </w:rPr>
            </w:pPr>
            <w:r>
              <w:rPr>
                <w:sz w:val="24"/>
                <w:szCs w:val="24"/>
              </w:rPr>
              <w:t>Messaggio</w:t>
            </w:r>
          </w:p>
        </w:tc>
        <w:tc>
          <w:tcPr>
            <w:tcW w:w="4119" w:type="dxa"/>
            <w:tcBorders>
              <w:top w:val="nil"/>
              <w:left w:val="nil"/>
              <w:bottom w:val="single" w:sz="8" w:space="0" w:color="000080"/>
              <w:right w:val="double" w:sz="4" w:space="0" w:color="000080"/>
            </w:tcBorders>
            <w:tcMar>
              <w:top w:w="0" w:type="dxa"/>
              <w:left w:w="108" w:type="dxa"/>
              <w:bottom w:w="0" w:type="dxa"/>
              <w:right w:w="108" w:type="dxa"/>
            </w:tcMar>
          </w:tcPr>
          <w:p w:rsidR="00583790" w:rsidRDefault="00583790" w:rsidP="001A1A5F">
            <w:pPr>
              <w:rPr>
                <w:b/>
                <w:bCs/>
                <w:sz w:val="24"/>
                <w:szCs w:val="24"/>
              </w:rPr>
            </w:pPr>
            <w:r>
              <w:rPr>
                <w:b/>
                <w:bCs/>
                <w:sz w:val="24"/>
                <w:szCs w:val="24"/>
              </w:rPr>
              <w:t>053/2014</w:t>
            </w:r>
          </w:p>
        </w:tc>
      </w:tr>
      <w:tr w:rsidR="00583790" w:rsidTr="001A4AFD">
        <w:tc>
          <w:tcPr>
            <w:tcW w:w="1269" w:type="dxa"/>
            <w:tcBorders>
              <w:top w:val="nil"/>
              <w:left w:val="double" w:sz="4" w:space="0" w:color="000080"/>
              <w:bottom w:val="single" w:sz="8" w:space="0" w:color="000080"/>
              <w:right w:val="single" w:sz="8" w:space="0" w:color="000080"/>
            </w:tcBorders>
            <w:shd w:val="clear" w:color="auto" w:fill="FCC25A"/>
            <w:tcMar>
              <w:top w:w="0" w:type="dxa"/>
              <w:left w:w="108" w:type="dxa"/>
              <w:bottom w:w="0" w:type="dxa"/>
              <w:right w:w="108" w:type="dxa"/>
            </w:tcMar>
          </w:tcPr>
          <w:p w:rsidR="00583790" w:rsidRDefault="00583790">
            <w:pPr>
              <w:rPr>
                <w:sz w:val="24"/>
                <w:szCs w:val="24"/>
              </w:rPr>
            </w:pPr>
            <w:r>
              <w:rPr>
                <w:sz w:val="24"/>
                <w:szCs w:val="24"/>
              </w:rPr>
              <w:t>Destinatari</w:t>
            </w:r>
          </w:p>
        </w:tc>
        <w:tc>
          <w:tcPr>
            <w:tcW w:w="4119" w:type="dxa"/>
            <w:tcBorders>
              <w:top w:val="nil"/>
              <w:left w:val="nil"/>
              <w:bottom w:val="single" w:sz="8" w:space="0" w:color="000080"/>
              <w:right w:val="double" w:sz="4" w:space="0" w:color="000080"/>
            </w:tcBorders>
            <w:tcMar>
              <w:top w:w="0" w:type="dxa"/>
              <w:left w:w="108" w:type="dxa"/>
              <w:bottom w:w="0" w:type="dxa"/>
              <w:right w:w="108" w:type="dxa"/>
            </w:tcMar>
          </w:tcPr>
          <w:p w:rsidR="00583790" w:rsidRDefault="00583790" w:rsidP="008C6774">
            <w:pPr>
              <w:rPr>
                <w:b/>
                <w:bCs/>
                <w:sz w:val="24"/>
                <w:szCs w:val="24"/>
              </w:rPr>
            </w:pPr>
            <w:r>
              <w:rPr>
                <w:b/>
                <w:bCs/>
                <w:sz w:val="24"/>
                <w:szCs w:val="24"/>
              </w:rPr>
              <w:t>Utenti Tutti</w:t>
            </w:r>
          </w:p>
        </w:tc>
      </w:tr>
      <w:tr w:rsidR="00583790" w:rsidTr="001A4AFD">
        <w:tc>
          <w:tcPr>
            <w:tcW w:w="1269" w:type="dxa"/>
            <w:tcBorders>
              <w:top w:val="nil"/>
              <w:left w:val="double" w:sz="4" w:space="0" w:color="000080"/>
              <w:bottom w:val="single" w:sz="8" w:space="0" w:color="000080"/>
              <w:right w:val="single" w:sz="8" w:space="0" w:color="000080"/>
            </w:tcBorders>
            <w:shd w:val="clear" w:color="auto" w:fill="FCC25A"/>
            <w:tcMar>
              <w:top w:w="0" w:type="dxa"/>
              <w:left w:w="108" w:type="dxa"/>
              <w:bottom w:w="0" w:type="dxa"/>
              <w:right w:w="108" w:type="dxa"/>
            </w:tcMar>
          </w:tcPr>
          <w:p w:rsidR="00583790" w:rsidRDefault="00583790">
            <w:pPr>
              <w:rPr>
                <w:sz w:val="24"/>
                <w:szCs w:val="24"/>
              </w:rPr>
            </w:pPr>
            <w:r>
              <w:rPr>
                <w:sz w:val="24"/>
                <w:szCs w:val="24"/>
              </w:rPr>
              <w:t>Tipo</w:t>
            </w:r>
          </w:p>
        </w:tc>
        <w:tc>
          <w:tcPr>
            <w:tcW w:w="4119" w:type="dxa"/>
            <w:tcBorders>
              <w:top w:val="nil"/>
              <w:left w:val="nil"/>
              <w:bottom w:val="single" w:sz="8" w:space="0" w:color="000080"/>
              <w:right w:val="double" w:sz="4" w:space="0" w:color="000080"/>
            </w:tcBorders>
            <w:tcMar>
              <w:top w:w="0" w:type="dxa"/>
              <w:left w:w="108" w:type="dxa"/>
              <w:bottom w:w="0" w:type="dxa"/>
              <w:right w:w="108" w:type="dxa"/>
            </w:tcMar>
          </w:tcPr>
          <w:p w:rsidR="00583790" w:rsidRDefault="00583790">
            <w:pPr>
              <w:rPr>
                <w:b/>
                <w:bCs/>
                <w:sz w:val="24"/>
                <w:szCs w:val="24"/>
              </w:rPr>
            </w:pPr>
            <w:r>
              <w:rPr>
                <w:b/>
                <w:bCs/>
                <w:sz w:val="24"/>
                <w:szCs w:val="24"/>
              </w:rPr>
              <w:t>Informativa/Operativa</w:t>
            </w:r>
          </w:p>
        </w:tc>
      </w:tr>
      <w:tr w:rsidR="00583790" w:rsidTr="001A4AFD">
        <w:tc>
          <w:tcPr>
            <w:tcW w:w="1269" w:type="dxa"/>
            <w:tcBorders>
              <w:top w:val="nil"/>
              <w:left w:val="double" w:sz="4" w:space="0" w:color="000080"/>
              <w:bottom w:val="double" w:sz="4" w:space="0" w:color="000080"/>
              <w:right w:val="single" w:sz="8" w:space="0" w:color="000080"/>
            </w:tcBorders>
            <w:shd w:val="clear" w:color="auto" w:fill="FCC25A"/>
            <w:tcMar>
              <w:top w:w="0" w:type="dxa"/>
              <w:left w:w="108" w:type="dxa"/>
              <w:bottom w:w="0" w:type="dxa"/>
              <w:right w:w="108" w:type="dxa"/>
            </w:tcMar>
          </w:tcPr>
          <w:p w:rsidR="00583790" w:rsidRDefault="00583790">
            <w:pPr>
              <w:rPr>
                <w:sz w:val="24"/>
                <w:szCs w:val="24"/>
              </w:rPr>
            </w:pPr>
            <w:r>
              <w:rPr>
                <w:sz w:val="24"/>
                <w:szCs w:val="24"/>
              </w:rPr>
              <w:t>Area</w:t>
            </w:r>
          </w:p>
        </w:tc>
        <w:tc>
          <w:tcPr>
            <w:tcW w:w="4119" w:type="dxa"/>
            <w:tcBorders>
              <w:top w:val="nil"/>
              <w:left w:val="nil"/>
              <w:bottom w:val="double" w:sz="4" w:space="0" w:color="000080"/>
              <w:right w:val="double" w:sz="4" w:space="0" w:color="000080"/>
            </w:tcBorders>
            <w:tcMar>
              <w:top w:w="0" w:type="dxa"/>
              <w:left w:w="108" w:type="dxa"/>
              <w:bottom w:w="0" w:type="dxa"/>
              <w:right w:w="108" w:type="dxa"/>
            </w:tcMar>
          </w:tcPr>
          <w:p w:rsidR="00583790" w:rsidRDefault="00583790" w:rsidP="00AE0F1C">
            <w:pPr>
              <w:rPr>
                <w:b/>
                <w:bCs/>
                <w:sz w:val="24"/>
                <w:szCs w:val="24"/>
              </w:rPr>
            </w:pPr>
            <w:r>
              <w:rPr>
                <w:b/>
                <w:bCs/>
                <w:sz w:val="24"/>
                <w:szCs w:val="24"/>
              </w:rPr>
              <w:t xml:space="preserve">Stipendi </w:t>
            </w:r>
          </w:p>
        </w:tc>
      </w:tr>
    </w:tbl>
    <w:p w:rsidR="00583790" w:rsidRDefault="00583790" w:rsidP="001A4AFD">
      <w:pPr>
        <w:ind w:left="6804" w:right="425" w:hanging="2126"/>
        <w:jc w:val="right"/>
        <w:rPr>
          <w:i/>
          <w:iCs/>
          <w:u w:val="single"/>
        </w:rPr>
      </w:pPr>
    </w:p>
    <w:p w:rsidR="00583790" w:rsidRPr="00652DE7" w:rsidRDefault="00583790" w:rsidP="007C14B3">
      <w:pPr>
        <w:jc w:val="both"/>
        <w:rPr>
          <w:bCs/>
          <w:sz w:val="24"/>
          <w:szCs w:val="24"/>
        </w:rPr>
      </w:pPr>
    </w:p>
    <w:p w:rsidR="00583790" w:rsidRDefault="00583790" w:rsidP="00F55AF9">
      <w:pPr>
        <w:ind w:left="1560" w:hanging="1560"/>
        <w:jc w:val="both"/>
        <w:rPr>
          <w:sz w:val="24"/>
          <w:szCs w:val="24"/>
        </w:rPr>
      </w:pPr>
      <w:r w:rsidRPr="00F80F33">
        <w:rPr>
          <w:sz w:val="28"/>
          <w:szCs w:val="28"/>
        </w:rPr>
        <w:t xml:space="preserve">OGGETTO: </w:t>
      </w:r>
      <w:r>
        <w:rPr>
          <w:sz w:val="24"/>
          <w:szCs w:val="24"/>
        </w:rPr>
        <w:t>Applicazione art.1, D.L. 66 del 24 aprile 2014 in materia di riduzione del cuneo fiscale per i lavoratori dipendenti.</w:t>
      </w:r>
    </w:p>
    <w:p w:rsidR="00583790" w:rsidRDefault="00583790" w:rsidP="00F5791E">
      <w:pPr>
        <w:ind w:left="900" w:hanging="900"/>
        <w:jc w:val="both"/>
        <w:rPr>
          <w:sz w:val="24"/>
          <w:szCs w:val="24"/>
        </w:rPr>
      </w:pPr>
    </w:p>
    <w:p w:rsidR="00583790" w:rsidRDefault="00583790" w:rsidP="00F5791E">
      <w:pPr>
        <w:ind w:left="900" w:hanging="900"/>
        <w:jc w:val="both"/>
        <w:rPr>
          <w:sz w:val="24"/>
          <w:szCs w:val="24"/>
        </w:rPr>
      </w:pPr>
    </w:p>
    <w:p w:rsidR="00583790" w:rsidRDefault="00583790" w:rsidP="00F55AF9">
      <w:pPr>
        <w:spacing w:line="360" w:lineRule="auto"/>
        <w:ind w:firstLine="567"/>
        <w:jc w:val="both"/>
        <w:rPr>
          <w:sz w:val="24"/>
          <w:szCs w:val="24"/>
        </w:rPr>
      </w:pPr>
      <w:r>
        <w:rPr>
          <w:sz w:val="24"/>
          <w:szCs w:val="24"/>
        </w:rPr>
        <w:t>A partire dall’emissione del cedolino del mese di maggio 2014, è stata data attuazione alle disposizioni dell’art. 1 del D.L. 66 del 24 aprile 2014 sulla riduzione del cuneo fiscale per i lavoratori dipendenti, tenuto conto anche delle indicazioni contenute nella circolare n. 8/E del 28 aprile 2014 dell’Agenzia delle Entrate.</w:t>
      </w:r>
    </w:p>
    <w:p w:rsidR="00583790" w:rsidRDefault="00583790" w:rsidP="00F55AF9">
      <w:pPr>
        <w:spacing w:line="360" w:lineRule="auto"/>
        <w:ind w:firstLine="567"/>
        <w:jc w:val="both"/>
        <w:rPr>
          <w:sz w:val="24"/>
          <w:szCs w:val="24"/>
        </w:rPr>
      </w:pPr>
      <w:r>
        <w:rPr>
          <w:sz w:val="24"/>
          <w:szCs w:val="24"/>
        </w:rPr>
        <w:t xml:space="preserve"> L’obiettivo è quello di riconoscere un credito IRPEF al personale con specifici requisiti legati al reddito ed alla sussistenza di un’imposta lorda di ammontare superiore alle detrazioni da lavoro spettanti.</w:t>
      </w:r>
    </w:p>
    <w:p w:rsidR="00583790" w:rsidRDefault="00583790" w:rsidP="00F55AF9">
      <w:pPr>
        <w:spacing w:line="360" w:lineRule="auto"/>
        <w:ind w:firstLine="567"/>
        <w:jc w:val="both"/>
        <w:rPr>
          <w:sz w:val="24"/>
          <w:szCs w:val="24"/>
        </w:rPr>
      </w:pPr>
      <w:r>
        <w:rPr>
          <w:sz w:val="24"/>
          <w:szCs w:val="24"/>
        </w:rPr>
        <w:t>Di seguito vengono riepilogati i criteri di applicazione adottati nel sistema Noi PA:</w:t>
      </w:r>
    </w:p>
    <w:p w:rsidR="00583790" w:rsidRPr="00664817" w:rsidRDefault="00583790" w:rsidP="006B1FE1">
      <w:pPr>
        <w:numPr>
          <w:ilvl w:val="0"/>
          <w:numId w:val="16"/>
        </w:numPr>
        <w:spacing w:line="360" w:lineRule="auto"/>
        <w:ind w:left="709" w:hanging="284"/>
        <w:jc w:val="both"/>
        <w:rPr>
          <w:sz w:val="24"/>
          <w:szCs w:val="24"/>
        </w:rPr>
      </w:pPr>
      <w:r w:rsidRPr="00664817">
        <w:rPr>
          <w:sz w:val="24"/>
          <w:szCs w:val="24"/>
        </w:rPr>
        <w:t>Il personale beneficiario del bonus mensile deve essere oggetto, per ogni mensilità, di un’emissione di competenze stipendiali mensili</w:t>
      </w:r>
      <w:r>
        <w:rPr>
          <w:sz w:val="24"/>
          <w:szCs w:val="24"/>
        </w:rPr>
        <w:t>.</w:t>
      </w:r>
      <w:r w:rsidRPr="00664817">
        <w:rPr>
          <w:sz w:val="24"/>
          <w:szCs w:val="24"/>
        </w:rPr>
        <w:t xml:space="preserve"> </w:t>
      </w:r>
    </w:p>
    <w:p w:rsidR="00583790" w:rsidRDefault="00583790" w:rsidP="006B1FE1">
      <w:pPr>
        <w:numPr>
          <w:ilvl w:val="0"/>
          <w:numId w:val="16"/>
        </w:numPr>
        <w:spacing w:line="360" w:lineRule="auto"/>
        <w:ind w:left="709" w:hanging="284"/>
        <w:jc w:val="both"/>
        <w:rPr>
          <w:sz w:val="24"/>
          <w:szCs w:val="24"/>
        </w:rPr>
      </w:pPr>
      <w:r w:rsidRPr="00664817">
        <w:rPr>
          <w:sz w:val="24"/>
          <w:szCs w:val="24"/>
        </w:rPr>
        <w:t>Il credito IRPEF spetta al personale con reddito annuo inferiore ai 26.000 euro; in particolare è stato riconosciuto un credito di 80 euro mensili (corrispondente a 640 euro annuali) per i redditi pari o inferiori a 24.000 euro; oltre i 24.000 euro l’importo diminuisce linearmente fino ad annullarsi per i redditi pari o superiori a 26.000 euro.</w:t>
      </w:r>
    </w:p>
    <w:p w:rsidR="00583790" w:rsidRDefault="00583790" w:rsidP="006B1FE1">
      <w:pPr>
        <w:numPr>
          <w:ilvl w:val="0"/>
          <w:numId w:val="16"/>
        </w:numPr>
        <w:spacing w:line="360" w:lineRule="auto"/>
        <w:ind w:left="709" w:hanging="284"/>
        <w:jc w:val="both"/>
        <w:rPr>
          <w:sz w:val="24"/>
          <w:szCs w:val="24"/>
        </w:rPr>
      </w:pPr>
      <w:r>
        <w:rPr>
          <w:sz w:val="24"/>
          <w:szCs w:val="24"/>
        </w:rPr>
        <w:t>Il bonus viene riconosciuto alle posizioni stipendiali per le quali l’IRPEF lorda dovuta nel mese risulti maggiore della detrazione per lavoro dipendente del mese stesso.</w:t>
      </w:r>
    </w:p>
    <w:p w:rsidR="00583790" w:rsidRDefault="00583790" w:rsidP="006B1FE1">
      <w:pPr>
        <w:numPr>
          <w:ilvl w:val="0"/>
          <w:numId w:val="16"/>
        </w:numPr>
        <w:spacing w:line="360" w:lineRule="auto"/>
        <w:ind w:left="709" w:hanging="284"/>
        <w:jc w:val="both"/>
        <w:rPr>
          <w:sz w:val="24"/>
          <w:szCs w:val="24"/>
        </w:rPr>
      </w:pPr>
      <w:r>
        <w:rPr>
          <w:sz w:val="24"/>
          <w:szCs w:val="24"/>
        </w:rPr>
        <w:t xml:space="preserve">Non rientra nella valutazione dell’attribuzione del bonus il personale per il quale gli uffici responsabili, su richiesta del dipendente stesso, abbiano annullato l’applicazione in via ordinaria delle detrazioni per lavoro dipendente o abbiano impostato la tassazione mensile ad aliquota fissa. </w:t>
      </w:r>
    </w:p>
    <w:p w:rsidR="00583790" w:rsidRDefault="00583790" w:rsidP="007C3FDA">
      <w:pPr>
        <w:numPr>
          <w:ilvl w:val="0"/>
          <w:numId w:val="16"/>
        </w:numPr>
        <w:spacing w:line="360" w:lineRule="auto"/>
        <w:ind w:left="709" w:hanging="284"/>
        <w:jc w:val="both"/>
        <w:rPr>
          <w:sz w:val="24"/>
          <w:szCs w:val="24"/>
        </w:rPr>
      </w:pPr>
      <w:r>
        <w:rPr>
          <w:sz w:val="24"/>
          <w:szCs w:val="24"/>
        </w:rPr>
        <w:t xml:space="preserve">La mancata rispondenza mensile di almeno uno dei requisiti comporta la non attribuzione, per lo specifico mese, della quota di credito IRPEF mensile. </w:t>
      </w:r>
    </w:p>
    <w:p w:rsidR="00583790" w:rsidRDefault="00583790" w:rsidP="005E0129">
      <w:pPr>
        <w:spacing w:line="360" w:lineRule="auto"/>
        <w:ind w:firstLine="567"/>
        <w:jc w:val="both"/>
        <w:rPr>
          <w:sz w:val="24"/>
          <w:szCs w:val="24"/>
        </w:rPr>
      </w:pPr>
      <w:r w:rsidRPr="002A07EC">
        <w:rPr>
          <w:sz w:val="24"/>
          <w:szCs w:val="24"/>
        </w:rPr>
        <w:t xml:space="preserve">Come </w:t>
      </w:r>
      <w:r>
        <w:rPr>
          <w:sz w:val="24"/>
          <w:szCs w:val="24"/>
        </w:rPr>
        <w:t xml:space="preserve">indicato </w:t>
      </w:r>
      <w:r w:rsidRPr="002A07EC">
        <w:rPr>
          <w:sz w:val="24"/>
          <w:szCs w:val="24"/>
        </w:rPr>
        <w:t>al punto 3. d</w:t>
      </w:r>
      <w:r>
        <w:rPr>
          <w:sz w:val="24"/>
          <w:szCs w:val="24"/>
        </w:rPr>
        <w:t>e</w:t>
      </w:r>
      <w:r w:rsidRPr="002A07EC">
        <w:rPr>
          <w:sz w:val="24"/>
          <w:szCs w:val="24"/>
        </w:rPr>
        <w:t xml:space="preserve">lla già citata circolare dell’Agenzia delle Entrate, i sostituti di imposta sono tenuti </w:t>
      </w:r>
      <w:r>
        <w:rPr>
          <w:sz w:val="24"/>
          <w:szCs w:val="24"/>
        </w:rPr>
        <w:t>‘</w:t>
      </w:r>
      <w:r w:rsidRPr="005E0129">
        <w:rPr>
          <w:i/>
          <w:sz w:val="24"/>
          <w:szCs w:val="24"/>
        </w:rPr>
        <w:t>a determinare la spettanza del credito e del relativo importo sulla base dei dati reddituali a loro disposizione</w:t>
      </w:r>
      <w:r>
        <w:rPr>
          <w:sz w:val="24"/>
          <w:szCs w:val="24"/>
        </w:rPr>
        <w:t>’,</w:t>
      </w:r>
      <w:r w:rsidRPr="005E0129">
        <w:rPr>
          <w:sz w:val="24"/>
          <w:szCs w:val="24"/>
        </w:rPr>
        <w:t xml:space="preserve"> </w:t>
      </w:r>
      <w:r w:rsidRPr="00C4025E">
        <w:rPr>
          <w:sz w:val="24"/>
          <w:szCs w:val="24"/>
        </w:rPr>
        <w:t xml:space="preserve">ciò a significare </w:t>
      </w:r>
      <w:r>
        <w:rPr>
          <w:sz w:val="24"/>
          <w:szCs w:val="24"/>
        </w:rPr>
        <w:t>che il sostituto deve individuare il reddito previsionale sulla base di tutte le informazioni in suo possesso, comprese le detrazioni da lavoro spettanti.</w:t>
      </w:r>
    </w:p>
    <w:p w:rsidR="00583790" w:rsidRDefault="00583790" w:rsidP="005E0129">
      <w:pPr>
        <w:spacing w:line="360" w:lineRule="auto"/>
        <w:ind w:firstLine="567"/>
        <w:jc w:val="both"/>
        <w:rPr>
          <w:sz w:val="24"/>
          <w:szCs w:val="24"/>
        </w:rPr>
      </w:pPr>
      <w:r>
        <w:rPr>
          <w:sz w:val="24"/>
          <w:szCs w:val="24"/>
        </w:rPr>
        <w:t>Come noto, nel sistema Noi PA, per la determinazione delle detrazioni vengono attualmente utilizzati i seguenti parametri di riferimento:</w:t>
      </w:r>
    </w:p>
    <w:p w:rsidR="00583790" w:rsidRPr="0038079A" w:rsidRDefault="00583790" w:rsidP="008C0CC2">
      <w:pPr>
        <w:pStyle w:val="ListParagraph"/>
        <w:numPr>
          <w:ilvl w:val="0"/>
          <w:numId w:val="18"/>
        </w:numPr>
        <w:spacing w:line="360" w:lineRule="auto"/>
        <w:jc w:val="both"/>
        <w:rPr>
          <w:rFonts w:ascii="Times New Roman" w:hAnsi="Times New Roman"/>
          <w:sz w:val="24"/>
          <w:szCs w:val="24"/>
        </w:rPr>
      </w:pPr>
      <w:r w:rsidRPr="005E0129">
        <w:rPr>
          <w:rFonts w:ascii="Times New Roman" w:hAnsi="Times New Roman"/>
          <w:i/>
          <w:sz w:val="24"/>
          <w:szCs w:val="24"/>
        </w:rPr>
        <w:t>l’imponibile  presunto</w:t>
      </w:r>
      <w:r w:rsidRPr="0038079A">
        <w:rPr>
          <w:rFonts w:ascii="Times New Roman" w:hAnsi="Times New Roman"/>
          <w:sz w:val="24"/>
          <w:szCs w:val="24"/>
        </w:rPr>
        <w:t>, pari alla sommatoria degli imponibili stipendiali già percepiti e della proiezione di quello del mese corrente fino a fine anno;</w:t>
      </w:r>
    </w:p>
    <w:p w:rsidR="00583790" w:rsidRPr="00163434" w:rsidRDefault="00583790" w:rsidP="008C0CC2">
      <w:pPr>
        <w:pStyle w:val="ListParagraph"/>
        <w:numPr>
          <w:ilvl w:val="0"/>
          <w:numId w:val="18"/>
        </w:numPr>
        <w:spacing w:line="360" w:lineRule="auto"/>
        <w:jc w:val="both"/>
        <w:rPr>
          <w:rFonts w:ascii="Times New Roman" w:hAnsi="Times New Roman"/>
          <w:sz w:val="24"/>
          <w:szCs w:val="24"/>
        </w:rPr>
      </w:pPr>
      <w:r w:rsidRPr="005E0129">
        <w:rPr>
          <w:rFonts w:ascii="Times New Roman" w:hAnsi="Times New Roman"/>
          <w:bCs/>
          <w:i/>
          <w:iCs/>
          <w:sz w:val="24"/>
          <w:szCs w:val="24"/>
        </w:rPr>
        <w:t>l’imponibile “forzato”</w:t>
      </w:r>
      <w:r w:rsidRPr="005E0129">
        <w:rPr>
          <w:rFonts w:ascii="Times New Roman" w:hAnsi="Times New Roman"/>
          <w:i/>
          <w:sz w:val="24"/>
          <w:szCs w:val="24"/>
        </w:rPr>
        <w:t xml:space="preserve"> </w:t>
      </w:r>
      <w:r w:rsidRPr="005E0129">
        <w:rPr>
          <w:rFonts w:ascii="Times New Roman" w:hAnsi="Times New Roman"/>
          <w:bCs/>
          <w:i/>
          <w:iCs/>
          <w:sz w:val="24"/>
          <w:szCs w:val="24"/>
        </w:rPr>
        <w:t>presunto</w:t>
      </w:r>
      <w:r>
        <w:rPr>
          <w:rFonts w:ascii="Times New Roman" w:hAnsi="Times New Roman"/>
          <w:bCs/>
          <w:iCs/>
          <w:sz w:val="24"/>
          <w:szCs w:val="24"/>
        </w:rPr>
        <w:t>,</w:t>
      </w:r>
      <w:r w:rsidRPr="00163434">
        <w:rPr>
          <w:rFonts w:ascii="Times New Roman" w:hAnsi="Times New Roman"/>
          <w:bCs/>
          <w:iCs/>
          <w:sz w:val="24"/>
          <w:szCs w:val="24"/>
        </w:rPr>
        <w:t xml:space="preserve"> </w:t>
      </w:r>
      <w:r w:rsidRPr="00163434">
        <w:rPr>
          <w:rFonts w:ascii="Times New Roman" w:hAnsi="Times New Roman"/>
          <w:sz w:val="24"/>
          <w:szCs w:val="24"/>
        </w:rPr>
        <w:t xml:space="preserve">aggiornato </w:t>
      </w:r>
      <w:r>
        <w:rPr>
          <w:rFonts w:ascii="Times New Roman" w:hAnsi="Times New Roman"/>
          <w:sz w:val="24"/>
          <w:szCs w:val="24"/>
        </w:rPr>
        <w:t xml:space="preserve">in automatico </w:t>
      </w:r>
      <w:bookmarkStart w:id="0" w:name="_GoBack"/>
      <w:bookmarkEnd w:id="0"/>
      <w:r w:rsidRPr="00163434">
        <w:rPr>
          <w:rFonts w:ascii="Times New Roman" w:hAnsi="Times New Roman"/>
          <w:sz w:val="24"/>
          <w:szCs w:val="24"/>
        </w:rPr>
        <w:t>periodicamente da sistema, corrispondente al reddito percepito nell’anno precedente; prima dell’elaboraz</w:t>
      </w:r>
      <w:r>
        <w:rPr>
          <w:rFonts w:ascii="Times New Roman" w:hAnsi="Times New Roman"/>
          <w:sz w:val="24"/>
          <w:szCs w:val="24"/>
        </w:rPr>
        <w:t xml:space="preserve">ione della mensilità di maggio </w:t>
      </w:r>
      <w:r w:rsidRPr="00163434">
        <w:rPr>
          <w:rFonts w:ascii="Times New Roman" w:hAnsi="Times New Roman"/>
          <w:sz w:val="24"/>
          <w:szCs w:val="24"/>
        </w:rPr>
        <w:t xml:space="preserve">si è proceduto all’aggiornamento dell’imponibile “forzato” </w:t>
      </w:r>
      <w:r>
        <w:rPr>
          <w:rFonts w:ascii="Times New Roman" w:hAnsi="Times New Roman"/>
          <w:sz w:val="24"/>
          <w:szCs w:val="24"/>
        </w:rPr>
        <w:t xml:space="preserve">presunto </w:t>
      </w:r>
      <w:r w:rsidRPr="00163434">
        <w:rPr>
          <w:rFonts w:ascii="Times New Roman" w:hAnsi="Times New Roman"/>
          <w:sz w:val="24"/>
          <w:szCs w:val="24"/>
        </w:rPr>
        <w:t>con il reddito 2013, certificato sul CUD 2014;</w:t>
      </w:r>
    </w:p>
    <w:p w:rsidR="00583790" w:rsidRPr="0038079A" w:rsidRDefault="00583790" w:rsidP="008C0CC2">
      <w:pPr>
        <w:pStyle w:val="ListParagraph"/>
        <w:numPr>
          <w:ilvl w:val="0"/>
          <w:numId w:val="18"/>
        </w:numPr>
        <w:spacing w:line="360" w:lineRule="auto"/>
        <w:jc w:val="both"/>
        <w:rPr>
          <w:rFonts w:ascii="Times New Roman" w:hAnsi="Times New Roman"/>
          <w:sz w:val="24"/>
          <w:szCs w:val="24"/>
        </w:rPr>
      </w:pPr>
      <w:r w:rsidRPr="005E0129">
        <w:rPr>
          <w:rFonts w:ascii="Times New Roman" w:hAnsi="Times New Roman"/>
          <w:bCs/>
          <w:i/>
          <w:iCs/>
          <w:sz w:val="24"/>
          <w:szCs w:val="24"/>
        </w:rPr>
        <w:t>l’imponibile “forzato” dichiarato</w:t>
      </w:r>
      <w:r w:rsidRPr="00163434">
        <w:rPr>
          <w:rFonts w:ascii="Times New Roman" w:hAnsi="Times New Roman"/>
          <w:bCs/>
          <w:iCs/>
          <w:sz w:val="24"/>
          <w:szCs w:val="24"/>
        </w:rPr>
        <w:t>,</w:t>
      </w:r>
      <w:r w:rsidRPr="00163434">
        <w:rPr>
          <w:rFonts w:ascii="Times New Roman" w:hAnsi="Times New Roman"/>
          <w:sz w:val="24"/>
          <w:szCs w:val="24"/>
        </w:rPr>
        <w:t xml:space="preserve">  inserito</w:t>
      </w:r>
      <w:r>
        <w:rPr>
          <w:rFonts w:ascii="Times New Roman" w:hAnsi="Times New Roman"/>
          <w:sz w:val="24"/>
          <w:szCs w:val="24"/>
        </w:rPr>
        <w:t xml:space="preserve"> nel sistema dagli Uffici R</w:t>
      </w:r>
      <w:r w:rsidRPr="0038079A">
        <w:rPr>
          <w:rFonts w:ascii="Times New Roman" w:hAnsi="Times New Roman"/>
          <w:sz w:val="24"/>
          <w:szCs w:val="24"/>
        </w:rPr>
        <w:t>esponsabili, in base ad apposita comunicazione effettuata dal dipendente</w:t>
      </w:r>
      <w:r>
        <w:rPr>
          <w:rFonts w:ascii="Times New Roman" w:hAnsi="Times New Roman"/>
          <w:sz w:val="24"/>
          <w:szCs w:val="24"/>
        </w:rPr>
        <w:t xml:space="preserve">; l’imponibile </w:t>
      </w:r>
      <w:r w:rsidRPr="00463654">
        <w:rPr>
          <w:rFonts w:ascii="Times New Roman" w:hAnsi="Times New Roman"/>
          <w:bCs/>
          <w:iCs/>
          <w:sz w:val="24"/>
          <w:szCs w:val="24"/>
        </w:rPr>
        <w:t>“forzato” dichiarato</w:t>
      </w:r>
      <w:r>
        <w:rPr>
          <w:rFonts w:ascii="Times New Roman" w:hAnsi="Times New Roman"/>
          <w:bCs/>
          <w:iCs/>
          <w:sz w:val="24"/>
          <w:szCs w:val="24"/>
        </w:rPr>
        <w:t>,</w:t>
      </w:r>
      <w:r>
        <w:rPr>
          <w:rFonts w:ascii="Times New Roman" w:hAnsi="Times New Roman"/>
          <w:sz w:val="24"/>
          <w:szCs w:val="24"/>
        </w:rPr>
        <w:t xml:space="preserve"> già impostato dagli Uffici Responsabili, non è stato oggetto dell’aggiornamento centralizzato di cui al punto precedente.</w:t>
      </w:r>
      <w:r w:rsidRPr="0038079A">
        <w:rPr>
          <w:rFonts w:ascii="Times New Roman" w:hAnsi="Times New Roman"/>
          <w:sz w:val="24"/>
          <w:szCs w:val="24"/>
        </w:rPr>
        <w:t xml:space="preserve"> </w:t>
      </w:r>
    </w:p>
    <w:p w:rsidR="00583790" w:rsidRDefault="00583790" w:rsidP="002A07EC">
      <w:pPr>
        <w:spacing w:line="360" w:lineRule="auto"/>
        <w:jc w:val="both"/>
        <w:rPr>
          <w:sz w:val="24"/>
          <w:szCs w:val="24"/>
        </w:rPr>
      </w:pPr>
      <w:r>
        <w:rPr>
          <w:sz w:val="24"/>
          <w:szCs w:val="24"/>
        </w:rPr>
        <w:t xml:space="preserve">Per quanto sopra esposto, al fine dell’individuazione del </w:t>
      </w:r>
      <w:r w:rsidRPr="002A07EC">
        <w:rPr>
          <w:sz w:val="24"/>
          <w:szCs w:val="24"/>
        </w:rPr>
        <w:t xml:space="preserve">reddito </w:t>
      </w:r>
      <w:r>
        <w:rPr>
          <w:sz w:val="24"/>
          <w:szCs w:val="24"/>
        </w:rPr>
        <w:t>previsionale utile al calcolo del bonus</w:t>
      </w:r>
      <w:r w:rsidRPr="002A07EC">
        <w:rPr>
          <w:sz w:val="24"/>
          <w:szCs w:val="24"/>
        </w:rPr>
        <w:t>,</w:t>
      </w:r>
      <w:r>
        <w:rPr>
          <w:sz w:val="24"/>
          <w:szCs w:val="24"/>
        </w:rPr>
        <w:t xml:space="preserve"> è stato</w:t>
      </w:r>
      <w:r w:rsidRPr="002A07EC">
        <w:rPr>
          <w:sz w:val="24"/>
          <w:szCs w:val="24"/>
        </w:rPr>
        <w:t xml:space="preserve"> utilizzato </w:t>
      </w:r>
      <w:r>
        <w:rPr>
          <w:sz w:val="24"/>
          <w:szCs w:val="24"/>
        </w:rPr>
        <w:t>i</w:t>
      </w:r>
      <w:r w:rsidRPr="002A07EC">
        <w:rPr>
          <w:sz w:val="24"/>
          <w:szCs w:val="24"/>
        </w:rPr>
        <w:t>l massimo importo</w:t>
      </w:r>
      <w:r>
        <w:rPr>
          <w:sz w:val="24"/>
          <w:szCs w:val="24"/>
        </w:rPr>
        <w:t xml:space="preserve"> tra l’imponibile presunto e l’imponibile “forzato”; l’individuazione del reddito previsionale viene ripetuta mensilmente.</w:t>
      </w:r>
    </w:p>
    <w:p w:rsidR="00583790" w:rsidRPr="002A07EC" w:rsidRDefault="00583790" w:rsidP="002A07EC">
      <w:pPr>
        <w:spacing w:line="360" w:lineRule="auto"/>
        <w:jc w:val="both"/>
        <w:rPr>
          <w:sz w:val="24"/>
          <w:szCs w:val="24"/>
        </w:rPr>
      </w:pPr>
      <w:r w:rsidRPr="002A07EC">
        <w:rPr>
          <w:sz w:val="24"/>
          <w:szCs w:val="24"/>
        </w:rPr>
        <w:t xml:space="preserve">È opportuno evidenziare che l’intervento di aggiornamento centralizzato del reddito </w:t>
      </w:r>
      <w:r>
        <w:rPr>
          <w:sz w:val="24"/>
          <w:szCs w:val="24"/>
        </w:rPr>
        <w:t>“</w:t>
      </w:r>
      <w:r w:rsidRPr="002A07EC">
        <w:rPr>
          <w:sz w:val="24"/>
          <w:szCs w:val="24"/>
        </w:rPr>
        <w:t>forzato</w:t>
      </w:r>
      <w:r>
        <w:rPr>
          <w:sz w:val="24"/>
          <w:szCs w:val="24"/>
        </w:rPr>
        <w:t>”</w:t>
      </w:r>
      <w:r w:rsidRPr="00163434">
        <w:rPr>
          <w:sz w:val="24"/>
          <w:szCs w:val="24"/>
        </w:rPr>
        <w:t xml:space="preserve"> </w:t>
      </w:r>
      <w:r>
        <w:rPr>
          <w:sz w:val="24"/>
          <w:szCs w:val="24"/>
        </w:rPr>
        <w:t>presunto, di cui al punto 2.,</w:t>
      </w:r>
      <w:r w:rsidRPr="002A07EC">
        <w:rPr>
          <w:sz w:val="24"/>
          <w:szCs w:val="24"/>
        </w:rPr>
        <w:t xml:space="preserve"> con il valore del CUD 2014</w:t>
      </w:r>
      <w:r>
        <w:rPr>
          <w:sz w:val="24"/>
          <w:szCs w:val="24"/>
        </w:rPr>
        <w:t xml:space="preserve">, </w:t>
      </w:r>
      <w:r w:rsidRPr="002A07EC">
        <w:rPr>
          <w:sz w:val="24"/>
          <w:szCs w:val="24"/>
        </w:rPr>
        <w:t xml:space="preserve">ha determinato in alcuni casi una variazione dell’importo delle detrazioni spettanti, anche per </w:t>
      </w:r>
      <w:r>
        <w:rPr>
          <w:sz w:val="24"/>
          <w:szCs w:val="24"/>
        </w:rPr>
        <w:t>posizioni non interessate all’attribuzione del credito IRPEF</w:t>
      </w:r>
      <w:r w:rsidRPr="002A07EC">
        <w:rPr>
          <w:sz w:val="24"/>
          <w:szCs w:val="24"/>
        </w:rPr>
        <w:t>.</w:t>
      </w:r>
    </w:p>
    <w:p w:rsidR="00583790" w:rsidRPr="00163434" w:rsidRDefault="00583790" w:rsidP="00463654">
      <w:pPr>
        <w:spacing w:line="360" w:lineRule="auto"/>
        <w:ind w:firstLine="567"/>
        <w:jc w:val="both"/>
        <w:rPr>
          <w:sz w:val="24"/>
          <w:szCs w:val="24"/>
        </w:rPr>
      </w:pPr>
      <w:r>
        <w:rPr>
          <w:sz w:val="24"/>
          <w:szCs w:val="24"/>
        </w:rPr>
        <w:t xml:space="preserve">Al fine di procedere ad una più rigorosa verifica relativa all’eventuale credito spettante, in fase di applicazione delle disposizioni del D.L. 66, sono state esaminate e gestite puntualmente alcune  </w:t>
      </w:r>
      <w:r w:rsidRPr="00163434">
        <w:rPr>
          <w:sz w:val="24"/>
          <w:szCs w:val="24"/>
        </w:rPr>
        <w:t>casistiche particolari.</w:t>
      </w:r>
    </w:p>
    <w:p w:rsidR="00583790" w:rsidRPr="00163434" w:rsidRDefault="00583790" w:rsidP="00463654">
      <w:pPr>
        <w:spacing w:line="360" w:lineRule="auto"/>
        <w:jc w:val="both"/>
        <w:rPr>
          <w:bCs/>
          <w:iCs/>
          <w:sz w:val="24"/>
          <w:szCs w:val="24"/>
        </w:rPr>
      </w:pPr>
      <w:r w:rsidRPr="00163434">
        <w:rPr>
          <w:bCs/>
          <w:iCs/>
          <w:sz w:val="24"/>
          <w:szCs w:val="24"/>
        </w:rPr>
        <w:t>Un caso particolare è quello di personale con più rapporti di lavoro (più iscrizioni attive), per il quale si è provveduto all’impostazione del reddito “forzato” presunto quale somma dei redditi de</w:t>
      </w:r>
      <w:r>
        <w:rPr>
          <w:bCs/>
          <w:iCs/>
          <w:sz w:val="24"/>
          <w:szCs w:val="24"/>
        </w:rPr>
        <w:t>i diversi rapporti di lavoro</w:t>
      </w:r>
      <w:r w:rsidRPr="00163434">
        <w:rPr>
          <w:bCs/>
          <w:iCs/>
          <w:sz w:val="24"/>
          <w:szCs w:val="24"/>
        </w:rPr>
        <w:t xml:space="preserve">. </w:t>
      </w:r>
    </w:p>
    <w:p w:rsidR="00583790" w:rsidRPr="007C3FDA" w:rsidRDefault="00583790" w:rsidP="00463654">
      <w:pPr>
        <w:spacing w:line="360" w:lineRule="auto"/>
        <w:jc w:val="both"/>
        <w:rPr>
          <w:sz w:val="24"/>
          <w:szCs w:val="24"/>
        </w:rPr>
      </w:pPr>
      <w:r>
        <w:rPr>
          <w:sz w:val="24"/>
          <w:szCs w:val="24"/>
        </w:rPr>
        <w:t>Altra casistica affrontata è stata quella di posizioni stipendiali anomale, per le quali le detrazioni per lavoro dipendente venivano gestite solo in fase di conguaglio di fine anno e non mensilmente; tali situazioni sono state sanate e, quindi, sono state trattate secondo i criteri precedentemente descritti.</w:t>
      </w:r>
    </w:p>
    <w:p w:rsidR="00583790" w:rsidRDefault="00583790" w:rsidP="002E0D5C">
      <w:pPr>
        <w:spacing w:before="120" w:line="360" w:lineRule="auto"/>
        <w:ind w:firstLine="567"/>
        <w:jc w:val="both"/>
        <w:rPr>
          <w:sz w:val="24"/>
          <w:szCs w:val="24"/>
        </w:rPr>
      </w:pPr>
      <w:r>
        <w:rPr>
          <w:sz w:val="24"/>
          <w:szCs w:val="24"/>
        </w:rPr>
        <w:t xml:space="preserve">Si precisa che, in fase di conguaglio fiscale di fine anno, </w:t>
      </w:r>
      <w:r w:rsidRPr="002E0D5C">
        <w:rPr>
          <w:sz w:val="24"/>
          <w:szCs w:val="24"/>
        </w:rPr>
        <w:t>sarà determinata l’effettiva spettanza</w:t>
      </w:r>
      <w:r>
        <w:rPr>
          <w:sz w:val="24"/>
          <w:szCs w:val="24"/>
        </w:rPr>
        <w:t xml:space="preserve"> del credito IRPEF</w:t>
      </w:r>
      <w:r w:rsidRPr="002E0D5C">
        <w:rPr>
          <w:sz w:val="24"/>
          <w:szCs w:val="24"/>
        </w:rPr>
        <w:t xml:space="preserve"> in base al reddito complessivo e</w:t>
      </w:r>
      <w:r>
        <w:rPr>
          <w:sz w:val="24"/>
          <w:szCs w:val="24"/>
        </w:rPr>
        <w:t xml:space="preserve"> ai giorni lavorati nell’anno.</w:t>
      </w:r>
    </w:p>
    <w:p w:rsidR="00583790" w:rsidRDefault="00583790" w:rsidP="007C3FDA">
      <w:pPr>
        <w:spacing w:before="120" w:line="360" w:lineRule="auto"/>
        <w:ind w:firstLine="567"/>
        <w:jc w:val="both"/>
        <w:rPr>
          <w:sz w:val="24"/>
          <w:szCs w:val="24"/>
        </w:rPr>
      </w:pPr>
      <w:r>
        <w:rPr>
          <w:sz w:val="24"/>
          <w:szCs w:val="24"/>
        </w:rPr>
        <w:t>Le novità introdotte dal D.L. 66 hanno portato ad alcune modifiche della componente Gestione Stipendio – ex SPT Web; in particolare, nelle funzioni “Cedolino emesso” e “Sviluppo rata” è stato introdotto un nuovo campo per la visualizzazione dell’eventuale bonus spettante nel mese.</w:t>
      </w:r>
    </w:p>
    <w:p w:rsidR="00583790" w:rsidRPr="00A1049E" w:rsidRDefault="00583790" w:rsidP="007C3FDA">
      <w:pPr>
        <w:spacing w:before="120" w:line="360" w:lineRule="auto"/>
        <w:ind w:firstLine="567"/>
        <w:jc w:val="both"/>
        <w:rPr>
          <w:sz w:val="24"/>
          <w:szCs w:val="24"/>
        </w:rPr>
      </w:pPr>
      <w:r>
        <w:rPr>
          <w:sz w:val="24"/>
          <w:szCs w:val="24"/>
        </w:rPr>
        <w:t xml:space="preserve">Per quanto riguarda l’evidenza a ciascun dipendente dell’avvenuta erogazione, si precisa che sul cedolino mensile, nella sezione ‘Altri assegni’ è stata inserita la voce </w:t>
      </w:r>
      <w:r w:rsidRPr="00A1049E">
        <w:rPr>
          <w:i/>
          <w:sz w:val="24"/>
          <w:szCs w:val="24"/>
        </w:rPr>
        <w:t>Credito art.1 D</w:t>
      </w:r>
      <w:r>
        <w:rPr>
          <w:i/>
          <w:sz w:val="24"/>
          <w:szCs w:val="24"/>
        </w:rPr>
        <w:t>.</w:t>
      </w:r>
      <w:r w:rsidRPr="00A1049E">
        <w:rPr>
          <w:i/>
          <w:sz w:val="24"/>
          <w:szCs w:val="24"/>
        </w:rPr>
        <w:t>L</w:t>
      </w:r>
      <w:r>
        <w:rPr>
          <w:i/>
          <w:sz w:val="24"/>
          <w:szCs w:val="24"/>
        </w:rPr>
        <w:t>.</w:t>
      </w:r>
      <w:r w:rsidRPr="00A1049E">
        <w:rPr>
          <w:i/>
          <w:sz w:val="24"/>
          <w:szCs w:val="24"/>
        </w:rPr>
        <w:t xml:space="preserve"> 66</w:t>
      </w:r>
      <w:r>
        <w:rPr>
          <w:i/>
          <w:sz w:val="24"/>
          <w:szCs w:val="24"/>
        </w:rPr>
        <w:t>/20</w:t>
      </w:r>
      <w:r w:rsidRPr="00A1049E">
        <w:rPr>
          <w:i/>
          <w:sz w:val="24"/>
          <w:szCs w:val="24"/>
        </w:rPr>
        <w:t>14</w:t>
      </w:r>
      <w:r>
        <w:rPr>
          <w:i/>
          <w:sz w:val="24"/>
          <w:szCs w:val="24"/>
        </w:rPr>
        <w:t xml:space="preserve">; </w:t>
      </w:r>
      <w:r w:rsidRPr="00A1049E">
        <w:rPr>
          <w:sz w:val="24"/>
          <w:szCs w:val="24"/>
        </w:rPr>
        <w:t xml:space="preserve">inoltre nell’area riservata del portale Noi PA, nella sezione </w:t>
      </w:r>
      <w:r w:rsidRPr="00A1049E">
        <w:rPr>
          <w:i/>
          <w:sz w:val="24"/>
          <w:szCs w:val="24"/>
        </w:rPr>
        <w:t>Le mie notifiche</w:t>
      </w:r>
      <w:r>
        <w:rPr>
          <w:i/>
          <w:sz w:val="24"/>
          <w:szCs w:val="24"/>
        </w:rPr>
        <w:t xml:space="preserve">, </w:t>
      </w:r>
      <w:r>
        <w:rPr>
          <w:sz w:val="24"/>
          <w:szCs w:val="24"/>
        </w:rPr>
        <w:t>ciascun beneficiario riceverà la comunicazione dell’avvenuta erogazione con l’indicazione del reddito previsionale utilizzato.</w:t>
      </w:r>
    </w:p>
    <w:p w:rsidR="00583790" w:rsidRDefault="00583790" w:rsidP="009D5F5D">
      <w:pPr>
        <w:spacing w:line="360" w:lineRule="auto"/>
        <w:ind w:firstLine="567"/>
        <w:jc w:val="both"/>
        <w:rPr>
          <w:sz w:val="24"/>
          <w:szCs w:val="24"/>
        </w:rPr>
      </w:pPr>
      <w:r>
        <w:rPr>
          <w:sz w:val="24"/>
          <w:szCs w:val="24"/>
        </w:rPr>
        <w:t xml:space="preserve">Si precisa, inoltre, che nell’area pubblica del portale è presente una prima sintetica informativa sull’applicazione dalla rata di maggio delle disposizione del D.L. 66 e che il </w:t>
      </w:r>
      <w:r w:rsidRPr="00832915">
        <w:rPr>
          <w:i/>
          <w:sz w:val="24"/>
          <w:szCs w:val="24"/>
        </w:rPr>
        <w:t>Flash del mese</w:t>
      </w:r>
      <w:r>
        <w:rPr>
          <w:sz w:val="24"/>
          <w:szCs w:val="24"/>
        </w:rPr>
        <w:t>, di prossima pubblicazione, sarà dedicato  a fornire chiarimenti ai dipendenti su ogni aspetto relativo al riconoscimento del beneficio.</w:t>
      </w:r>
    </w:p>
    <w:p w:rsidR="00583790" w:rsidRDefault="00583790" w:rsidP="009D5F5D">
      <w:pPr>
        <w:spacing w:line="360" w:lineRule="auto"/>
        <w:ind w:firstLine="567"/>
        <w:jc w:val="both"/>
        <w:rPr>
          <w:sz w:val="24"/>
          <w:szCs w:val="24"/>
        </w:rPr>
      </w:pPr>
      <w:r>
        <w:rPr>
          <w:sz w:val="24"/>
          <w:szCs w:val="24"/>
        </w:rPr>
        <w:t xml:space="preserve">Nei prossimi giorni saranno fornite le ulteriori indicazioni utili agli Uffici per una gestione completa del credito nel caso sia necessario un intervento manuale rispetto alla situazione presente nel sistema. </w:t>
      </w:r>
    </w:p>
    <w:p w:rsidR="00583790" w:rsidRDefault="00583790" w:rsidP="009D5F5D">
      <w:pPr>
        <w:spacing w:line="360" w:lineRule="auto"/>
        <w:ind w:firstLine="567"/>
        <w:jc w:val="both"/>
        <w:rPr>
          <w:sz w:val="24"/>
          <w:szCs w:val="24"/>
        </w:rPr>
      </w:pPr>
    </w:p>
    <w:p w:rsidR="00583790" w:rsidRDefault="00583790" w:rsidP="009D5F5D">
      <w:pPr>
        <w:spacing w:line="360" w:lineRule="auto"/>
        <w:ind w:firstLine="567"/>
        <w:jc w:val="both"/>
        <w:rPr>
          <w:sz w:val="24"/>
          <w:szCs w:val="24"/>
        </w:rPr>
      </w:pPr>
    </w:p>
    <w:p w:rsidR="00583790" w:rsidRDefault="00583790" w:rsidP="006B1FE1">
      <w:pPr>
        <w:spacing w:line="360" w:lineRule="auto"/>
        <w:jc w:val="both"/>
        <w:rPr>
          <w:sz w:val="24"/>
          <w:szCs w:val="24"/>
        </w:rPr>
      </w:pPr>
    </w:p>
    <w:p w:rsidR="00583790" w:rsidRPr="006B1FE1" w:rsidRDefault="00583790" w:rsidP="006B1FE1">
      <w:pPr>
        <w:spacing w:line="360" w:lineRule="auto"/>
        <w:jc w:val="both"/>
        <w:rPr>
          <w:sz w:val="24"/>
          <w:szCs w:val="24"/>
        </w:rPr>
      </w:pPr>
    </w:p>
    <w:p w:rsidR="00583790" w:rsidRPr="003A3504" w:rsidRDefault="00583790" w:rsidP="00E46754">
      <w:pPr>
        <w:ind w:left="5400" w:hanging="13"/>
        <w:jc w:val="center"/>
        <w:rPr>
          <w:sz w:val="24"/>
          <w:szCs w:val="24"/>
        </w:rPr>
      </w:pPr>
      <w:r>
        <w:rPr>
          <w:sz w:val="24"/>
          <w:szCs w:val="24"/>
        </w:rPr>
        <w:tab/>
      </w:r>
      <w:r w:rsidRPr="003A3504">
        <w:rPr>
          <w:sz w:val="24"/>
          <w:szCs w:val="24"/>
        </w:rPr>
        <w:t>IL DIRIGENTE</w:t>
      </w:r>
    </w:p>
    <w:p w:rsidR="00583790" w:rsidRDefault="00583790" w:rsidP="00E46754">
      <w:pPr>
        <w:ind w:left="5400" w:hanging="13"/>
        <w:jc w:val="center"/>
      </w:pPr>
      <w:r>
        <w:rPr>
          <w:sz w:val="24"/>
          <w:szCs w:val="24"/>
        </w:rPr>
        <w:t>Roberta LOTTI</w:t>
      </w:r>
    </w:p>
    <w:sectPr w:rsidR="00583790" w:rsidSect="0035765D">
      <w:footerReference w:type="even" r:id="rId8"/>
      <w:footerReference w:type="default" r:id="rId9"/>
      <w:pgSz w:w="11907" w:h="16840" w:code="9"/>
      <w:pgMar w:top="1077" w:right="1134" w:bottom="1079" w:left="99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790" w:rsidRDefault="00583790">
      <w:r>
        <w:separator/>
      </w:r>
    </w:p>
  </w:endnote>
  <w:endnote w:type="continuationSeparator" w:id="0">
    <w:p w:rsidR="00583790" w:rsidRDefault="005837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790" w:rsidRDefault="00583790" w:rsidP="003576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3790" w:rsidRDefault="00583790" w:rsidP="003576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790" w:rsidRDefault="00583790" w:rsidP="003576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83790" w:rsidRDefault="00583790" w:rsidP="003576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790" w:rsidRDefault="00583790">
      <w:r>
        <w:separator/>
      </w:r>
    </w:p>
  </w:footnote>
  <w:footnote w:type="continuationSeparator" w:id="0">
    <w:p w:rsidR="00583790" w:rsidRDefault="005837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4D59"/>
    <w:multiLevelType w:val="hybridMultilevel"/>
    <w:tmpl w:val="495CC2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5B7A70"/>
    <w:multiLevelType w:val="hybridMultilevel"/>
    <w:tmpl w:val="6CA80A60"/>
    <w:lvl w:ilvl="0" w:tplc="04100001">
      <w:start w:val="1"/>
      <w:numFmt w:val="bullet"/>
      <w:lvlText w:val=""/>
      <w:lvlJc w:val="left"/>
      <w:pPr>
        <w:ind w:left="2562" w:hanging="360"/>
      </w:pPr>
      <w:rPr>
        <w:rFonts w:ascii="Symbol" w:hAnsi="Symbol" w:hint="default"/>
      </w:rPr>
    </w:lvl>
    <w:lvl w:ilvl="1" w:tplc="04100003" w:tentative="1">
      <w:start w:val="1"/>
      <w:numFmt w:val="bullet"/>
      <w:lvlText w:val="o"/>
      <w:lvlJc w:val="left"/>
      <w:pPr>
        <w:ind w:left="3282" w:hanging="360"/>
      </w:pPr>
      <w:rPr>
        <w:rFonts w:ascii="Courier New" w:hAnsi="Courier New" w:hint="default"/>
      </w:rPr>
    </w:lvl>
    <w:lvl w:ilvl="2" w:tplc="04100005" w:tentative="1">
      <w:start w:val="1"/>
      <w:numFmt w:val="bullet"/>
      <w:lvlText w:val=""/>
      <w:lvlJc w:val="left"/>
      <w:pPr>
        <w:ind w:left="4002" w:hanging="360"/>
      </w:pPr>
      <w:rPr>
        <w:rFonts w:ascii="Wingdings" w:hAnsi="Wingdings" w:hint="default"/>
      </w:rPr>
    </w:lvl>
    <w:lvl w:ilvl="3" w:tplc="04100001" w:tentative="1">
      <w:start w:val="1"/>
      <w:numFmt w:val="bullet"/>
      <w:lvlText w:val=""/>
      <w:lvlJc w:val="left"/>
      <w:pPr>
        <w:ind w:left="4722" w:hanging="360"/>
      </w:pPr>
      <w:rPr>
        <w:rFonts w:ascii="Symbol" w:hAnsi="Symbol" w:hint="default"/>
      </w:rPr>
    </w:lvl>
    <w:lvl w:ilvl="4" w:tplc="04100003" w:tentative="1">
      <w:start w:val="1"/>
      <w:numFmt w:val="bullet"/>
      <w:lvlText w:val="o"/>
      <w:lvlJc w:val="left"/>
      <w:pPr>
        <w:ind w:left="5442" w:hanging="360"/>
      </w:pPr>
      <w:rPr>
        <w:rFonts w:ascii="Courier New" w:hAnsi="Courier New" w:hint="default"/>
      </w:rPr>
    </w:lvl>
    <w:lvl w:ilvl="5" w:tplc="04100005" w:tentative="1">
      <w:start w:val="1"/>
      <w:numFmt w:val="bullet"/>
      <w:lvlText w:val=""/>
      <w:lvlJc w:val="left"/>
      <w:pPr>
        <w:ind w:left="6162" w:hanging="360"/>
      </w:pPr>
      <w:rPr>
        <w:rFonts w:ascii="Wingdings" w:hAnsi="Wingdings" w:hint="default"/>
      </w:rPr>
    </w:lvl>
    <w:lvl w:ilvl="6" w:tplc="04100001" w:tentative="1">
      <w:start w:val="1"/>
      <w:numFmt w:val="bullet"/>
      <w:lvlText w:val=""/>
      <w:lvlJc w:val="left"/>
      <w:pPr>
        <w:ind w:left="6882" w:hanging="360"/>
      </w:pPr>
      <w:rPr>
        <w:rFonts w:ascii="Symbol" w:hAnsi="Symbol" w:hint="default"/>
      </w:rPr>
    </w:lvl>
    <w:lvl w:ilvl="7" w:tplc="04100003" w:tentative="1">
      <w:start w:val="1"/>
      <w:numFmt w:val="bullet"/>
      <w:lvlText w:val="o"/>
      <w:lvlJc w:val="left"/>
      <w:pPr>
        <w:ind w:left="7602" w:hanging="360"/>
      </w:pPr>
      <w:rPr>
        <w:rFonts w:ascii="Courier New" w:hAnsi="Courier New" w:hint="default"/>
      </w:rPr>
    </w:lvl>
    <w:lvl w:ilvl="8" w:tplc="04100005" w:tentative="1">
      <w:start w:val="1"/>
      <w:numFmt w:val="bullet"/>
      <w:lvlText w:val=""/>
      <w:lvlJc w:val="left"/>
      <w:pPr>
        <w:ind w:left="8322" w:hanging="360"/>
      </w:pPr>
      <w:rPr>
        <w:rFonts w:ascii="Wingdings" w:hAnsi="Wingdings" w:hint="default"/>
      </w:rPr>
    </w:lvl>
  </w:abstractNum>
  <w:abstractNum w:abstractNumId="2">
    <w:nsid w:val="04876F0F"/>
    <w:multiLevelType w:val="hybridMultilevel"/>
    <w:tmpl w:val="49EEC7B2"/>
    <w:lvl w:ilvl="0" w:tplc="04100001">
      <w:start w:val="1"/>
      <w:numFmt w:val="bullet"/>
      <w:lvlText w:val=""/>
      <w:lvlJc w:val="left"/>
      <w:pPr>
        <w:tabs>
          <w:tab w:val="num" w:pos="720"/>
        </w:tabs>
        <w:ind w:left="720" w:hanging="360"/>
      </w:pPr>
      <w:rPr>
        <w:rFonts w:ascii="Symbol" w:hAnsi="Symbol" w:hint="default"/>
      </w:rPr>
    </w:lvl>
    <w:lvl w:ilvl="1" w:tplc="04100005">
      <w:start w:val="1"/>
      <w:numFmt w:val="bullet"/>
      <w:lvlText w:val=""/>
      <w:lvlJc w:val="left"/>
      <w:pPr>
        <w:tabs>
          <w:tab w:val="num" w:pos="1440"/>
        </w:tabs>
        <w:ind w:left="1440" w:hanging="360"/>
      </w:pPr>
      <w:rPr>
        <w:rFonts w:ascii="Wingdings" w:hAnsi="Wingdings"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A702C1E"/>
    <w:multiLevelType w:val="hybridMultilevel"/>
    <w:tmpl w:val="A81A86F8"/>
    <w:lvl w:ilvl="0" w:tplc="04100001">
      <w:start w:val="1"/>
      <w:numFmt w:val="bullet"/>
      <w:lvlText w:val=""/>
      <w:lvlJc w:val="left"/>
      <w:pPr>
        <w:tabs>
          <w:tab w:val="num" w:pos="1620"/>
        </w:tabs>
        <w:ind w:left="1620" w:hanging="360"/>
      </w:pPr>
      <w:rPr>
        <w:rFonts w:ascii="Symbol" w:hAnsi="Symbol" w:hint="default"/>
      </w:rPr>
    </w:lvl>
    <w:lvl w:ilvl="1" w:tplc="04100003" w:tentative="1">
      <w:start w:val="1"/>
      <w:numFmt w:val="bullet"/>
      <w:lvlText w:val="o"/>
      <w:lvlJc w:val="left"/>
      <w:pPr>
        <w:tabs>
          <w:tab w:val="num" w:pos="2340"/>
        </w:tabs>
        <w:ind w:left="2340" w:hanging="360"/>
      </w:pPr>
      <w:rPr>
        <w:rFonts w:ascii="Courier New" w:hAnsi="Courier New"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4">
    <w:nsid w:val="0D8840EF"/>
    <w:multiLevelType w:val="multilevel"/>
    <w:tmpl w:val="B5E0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C95356"/>
    <w:multiLevelType w:val="hybridMultilevel"/>
    <w:tmpl w:val="9962F4A6"/>
    <w:lvl w:ilvl="0" w:tplc="EBA81F0E">
      <w:start w:val="1"/>
      <w:numFmt w:val="upperLetter"/>
      <w:lvlText w:val="%1."/>
      <w:lvlJc w:val="left"/>
      <w:pPr>
        <w:tabs>
          <w:tab w:val="num" w:pos="750"/>
        </w:tabs>
        <w:ind w:left="750" w:hanging="390"/>
      </w:pPr>
      <w:rPr>
        <w:rFonts w:cs="Times New Roman" w:hint="default"/>
        <w:b/>
      </w:rPr>
    </w:lvl>
    <w:lvl w:ilvl="1" w:tplc="A34E6ABA">
      <w:start w:val="1"/>
      <w:numFmt w:val="upperLetter"/>
      <w:lvlText w:val="%2."/>
      <w:lvlJc w:val="left"/>
      <w:pPr>
        <w:tabs>
          <w:tab w:val="num" w:pos="1440"/>
        </w:tabs>
        <w:ind w:left="1440" w:hanging="360"/>
      </w:pPr>
      <w:rPr>
        <w:rFonts w:cs="Times New Roman" w:hint="default"/>
        <w:b/>
        <w:i w:val="0"/>
      </w:rPr>
    </w:lvl>
    <w:lvl w:ilvl="2" w:tplc="D9EE3512">
      <w:start w:val="1"/>
      <w:numFmt w:val="bullet"/>
      <w:lvlText w:val=""/>
      <w:lvlJc w:val="left"/>
      <w:pPr>
        <w:tabs>
          <w:tab w:val="num" w:pos="1440"/>
        </w:tabs>
        <w:ind w:left="1440" w:hanging="360"/>
      </w:pPr>
      <w:rPr>
        <w:rFonts w:ascii="Wingdings" w:hAnsi="Wingdings" w:hint="default"/>
        <w:b/>
        <w:sz w:val="16"/>
      </w:rPr>
    </w:lvl>
    <w:lvl w:ilvl="3" w:tplc="1FBA75C0">
      <w:start w:val="1"/>
      <w:numFmt w:val="upperLetter"/>
      <w:lvlText w:val="%4."/>
      <w:lvlJc w:val="left"/>
      <w:pPr>
        <w:tabs>
          <w:tab w:val="num" w:pos="1800"/>
        </w:tabs>
        <w:ind w:left="1800" w:hanging="360"/>
      </w:pPr>
      <w:rPr>
        <w:rFonts w:cs="Times New Roman" w:hint="default"/>
        <w:b/>
        <w:i w:val="0"/>
      </w:rPr>
    </w:lvl>
    <w:lvl w:ilvl="4" w:tplc="6A7EDE96">
      <w:start w:val="1"/>
      <w:numFmt w:val="upperLetter"/>
      <w:lvlText w:val="%5."/>
      <w:lvlJc w:val="left"/>
      <w:pPr>
        <w:tabs>
          <w:tab w:val="num" w:pos="3630"/>
        </w:tabs>
        <w:ind w:left="3630" w:hanging="390"/>
      </w:pPr>
      <w:rPr>
        <w:rFonts w:ascii="Verdana" w:hAnsi="Verdana" w:cs="Times New Roman" w:hint="default"/>
        <w:b/>
        <w:i w:val="0"/>
        <w:sz w:val="20"/>
      </w:rPr>
    </w:lvl>
    <w:lvl w:ilvl="5" w:tplc="C8644B70">
      <w:start w:val="3"/>
      <w:numFmt w:val="upperLetter"/>
      <w:lvlText w:val="%6."/>
      <w:lvlJc w:val="left"/>
      <w:pPr>
        <w:tabs>
          <w:tab w:val="num" w:pos="4500"/>
        </w:tabs>
        <w:ind w:left="4500" w:hanging="360"/>
      </w:pPr>
      <w:rPr>
        <w:rFonts w:cs="Times New Roman" w:hint="default"/>
        <w:b/>
        <w:i w:val="0"/>
      </w:rPr>
    </w:lvl>
    <w:lvl w:ilvl="6" w:tplc="0410000F">
      <w:start w:val="1"/>
      <w:numFmt w:val="decimal"/>
      <w:lvlText w:val="%7."/>
      <w:lvlJc w:val="left"/>
      <w:pPr>
        <w:tabs>
          <w:tab w:val="num" w:pos="5040"/>
        </w:tabs>
        <w:ind w:left="5040" w:hanging="360"/>
      </w:pPr>
      <w:rPr>
        <w:rFonts w:cs="Times New Roman"/>
      </w:rPr>
    </w:lvl>
    <w:lvl w:ilvl="7" w:tplc="EA3A6570">
      <w:start w:val="1"/>
      <w:numFmt w:val="upperLetter"/>
      <w:lvlText w:val="%8."/>
      <w:lvlJc w:val="left"/>
      <w:pPr>
        <w:tabs>
          <w:tab w:val="num" w:pos="5760"/>
        </w:tabs>
        <w:ind w:left="5760" w:hanging="360"/>
      </w:pPr>
      <w:rPr>
        <w:rFonts w:ascii="Verdana" w:hAnsi="Verdana" w:cs="Times New Roman" w:hint="default"/>
        <w:b/>
        <w:i w:val="0"/>
        <w:color w:val="auto"/>
        <w:sz w:val="20"/>
      </w:rPr>
    </w:lvl>
    <w:lvl w:ilvl="8" w:tplc="FAECCA4E">
      <w:start w:val="3"/>
      <w:numFmt w:val="upperLetter"/>
      <w:lvlText w:val="%9."/>
      <w:lvlJc w:val="left"/>
      <w:pPr>
        <w:tabs>
          <w:tab w:val="num" w:pos="6690"/>
        </w:tabs>
        <w:ind w:left="6690" w:hanging="390"/>
      </w:pPr>
      <w:rPr>
        <w:rFonts w:ascii="Verdana" w:hAnsi="Verdana" w:cs="Times New Roman" w:hint="default"/>
        <w:b/>
        <w:i w:val="0"/>
        <w:sz w:val="20"/>
      </w:rPr>
    </w:lvl>
  </w:abstractNum>
  <w:abstractNum w:abstractNumId="6">
    <w:nsid w:val="1F860673"/>
    <w:multiLevelType w:val="hybridMultilevel"/>
    <w:tmpl w:val="52EEE542"/>
    <w:lvl w:ilvl="0" w:tplc="04100001">
      <w:start w:val="1"/>
      <w:numFmt w:val="bullet"/>
      <w:lvlText w:val=""/>
      <w:lvlJc w:val="left"/>
      <w:pPr>
        <w:ind w:left="1488" w:hanging="360"/>
      </w:pPr>
      <w:rPr>
        <w:rFonts w:ascii="Symbol" w:hAnsi="Symbol" w:hint="default"/>
      </w:rPr>
    </w:lvl>
    <w:lvl w:ilvl="1" w:tplc="04100003" w:tentative="1">
      <w:start w:val="1"/>
      <w:numFmt w:val="bullet"/>
      <w:lvlText w:val="o"/>
      <w:lvlJc w:val="left"/>
      <w:pPr>
        <w:ind w:left="2208" w:hanging="360"/>
      </w:pPr>
      <w:rPr>
        <w:rFonts w:ascii="Courier New" w:hAnsi="Courier New" w:hint="default"/>
      </w:rPr>
    </w:lvl>
    <w:lvl w:ilvl="2" w:tplc="04100005" w:tentative="1">
      <w:start w:val="1"/>
      <w:numFmt w:val="bullet"/>
      <w:lvlText w:val=""/>
      <w:lvlJc w:val="left"/>
      <w:pPr>
        <w:ind w:left="2928" w:hanging="360"/>
      </w:pPr>
      <w:rPr>
        <w:rFonts w:ascii="Wingdings" w:hAnsi="Wingdings" w:hint="default"/>
      </w:rPr>
    </w:lvl>
    <w:lvl w:ilvl="3" w:tplc="04100001" w:tentative="1">
      <w:start w:val="1"/>
      <w:numFmt w:val="bullet"/>
      <w:lvlText w:val=""/>
      <w:lvlJc w:val="left"/>
      <w:pPr>
        <w:ind w:left="3648" w:hanging="360"/>
      </w:pPr>
      <w:rPr>
        <w:rFonts w:ascii="Symbol" w:hAnsi="Symbol" w:hint="default"/>
      </w:rPr>
    </w:lvl>
    <w:lvl w:ilvl="4" w:tplc="04100003" w:tentative="1">
      <w:start w:val="1"/>
      <w:numFmt w:val="bullet"/>
      <w:lvlText w:val="o"/>
      <w:lvlJc w:val="left"/>
      <w:pPr>
        <w:ind w:left="4368" w:hanging="360"/>
      </w:pPr>
      <w:rPr>
        <w:rFonts w:ascii="Courier New" w:hAnsi="Courier New" w:hint="default"/>
      </w:rPr>
    </w:lvl>
    <w:lvl w:ilvl="5" w:tplc="04100005" w:tentative="1">
      <w:start w:val="1"/>
      <w:numFmt w:val="bullet"/>
      <w:lvlText w:val=""/>
      <w:lvlJc w:val="left"/>
      <w:pPr>
        <w:ind w:left="5088" w:hanging="360"/>
      </w:pPr>
      <w:rPr>
        <w:rFonts w:ascii="Wingdings" w:hAnsi="Wingdings" w:hint="default"/>
      </w:rPr>
    </w:lvl>
    <w:lvl w:ilvl="6" w:tplc="04100001" w:tentative="1">
      <w:start w:val="1"/>
      <w:numFmt w:val="bullet"/>
      <w:lvlText w:val=""/>
      <w:lvlJc w:val="left"/>
      <w:pPr>
        <w:ind w:left="5808" w:hanging="360"/>
      </w:pPr>
      <w:rPr>
        <w:rFonts w:ascii="Symbol" w:hAnsi="Symbol" w:hint="default"/>
      </w:rPr>
    </w:lvl>
    <w:lvl w:ilvl="7" w:tplc="04100003" w:tentative="1">
      <w:start w:val="1"/>
      <w:numFmt w:val="bullet"/>
      <w:lvlText w:val="o"/>
      <w:lvlJc w:val="left"/>
      <w:pPr>
        <w:ind w:left="6528" w:hanging="360"/>
      </w:pPr>
      <w:rPr>
        <w:rFonts w:ascii="Courier New" w:hAnsi="Courier New" w:hint="default"/>
      </w:rPr>
    </w:lvl>
    <w:lvl w:ilvl="8" w:tplc="04100005" w:tentative="1">
      <w:start w:val="1"/>
      <w:numFmt w:val="bullet"/>
      <w:lvlText w:val=""/>
      <w:lvlJc w:val="left"/>
      <w:pPr>
        <w:ind w:left="7248" w:hanging="360"/>
      </w:pPr>
      <w:rPr>
        <w:rFonts w:ascii="Wingdings" w:hAnsi="Wingdings" w:hint="default"/>
      </w:rPr>
    </w:lvl>
  </w:abstractNum>
  <w:abstractNum w:abstractNumId="7">
    <w:nsid w:val="33F6337C"/>
    <w:multiLevelType w:val="hybridMultilevel"/>
    <w:tmpl w:val="8F926F7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6BE66D4"/>
    <w:multiLevelType w:val="hybridMultilevel"/>
    <w:tmpl w:val="4FA0059A"/>
    <w:lvl w:ilvl="0" w:tplc="04100019">
      <w:start w:val="1"/>
      <w:numFmt w:val="lowerLetter"/>
      <w:lvlText w:val="%1."/>
      <w:lvlJc w:val="left"/>
      <w:pPr>
        <w:ind w:left="2562" w:hanging="360"/>
      </w:pPr>
      <w:rPr>
        <w:rFonts w:cs="Times New Roman" w:hint="default"/>
      </w:rPr>
    </w:lvl>
    <w:lvl w:ilvl="1" w:tplc="04100003" w:tentative="1">
      <w:start w:val="1"/>
      <w:numFmt w:val="bullet"/>
      <w:lvlText w:val="o"/>
      <w:lvlJc w:val="left"/>
      <w:pPr>
        <w:ind w:left="3282" w:hanging="360"/>
      </w:pPr>
      <w:rPr>
        <w:rFonts w:ascii="Courier New" w:hAnsi="Courier New" w:hint="default"/>
      </w:rPr>
    </w:lvl>
    <w:lvl w:ilvl="2" w:tplc="04100005" w:tentative="1">
      <w:start w:val="1"/>
      <w:numFmt w:val="bullet"/>
      <w:lvlText w:val=""/>
      <w:lvlJc w:val="left"/>
      <w:pPr>
        <w:ind w:left="4002" w:hanging="360"/>
      </w:pPr>
      <w:rPr>
        <w:rFonts w:ascii="Wingdings" w:hAnsi="Wingdings" w:hint="default"/>
      </w:rPr>
    </w:lvl>
    <w:lvl w:ilvl="3" w:tplc="04100001" w:tentative="1">
      <w:start w:val="1"/>
      <w:numFmt w:val="bullet"/>
      <w:lvlText w:val=""/>
      <w:lvlJc w:val="left"/>
      <w:pPr>
        <w:ind w:left="4722" w:hanging="360"/>
      </w:pPr>
      <w:rPr>
        <w:rFonts w:ascii="Symbol" w:hAnsi="Symbol" w:hint="default"/>
      </w:rPr>
    </w:lvl>
    <w:lvl w:ilvl="4" w:tplc="04100003" w:tentative="1">
      <w:start w:val="1"/>
      <w:numFmt w:val="bullet"/>
      <w:lvlText w:val="o"/>
      <w:lvlJc w:val="left"/>
      <w:pPr>
        <w:ind w:left="5442" w:hanging="360"/>
      </w:pPr>
      <w:rPr>
        <w:rFonts w:ascii="Courier New" w:hAnsi="Courier New" w:hint="default"/>
      </w:rPr>
    </w:lvl>
    <w:lvl w:ilvl="5" w:tplc="04100005" w:tentative="1">
      <w:start w:val="1"/>
      <w:numFmt w:val="bullet"/>
      <w:lvlText w:val=""/>
      <w:lvlJc w:val="left"/>
      <w:pPr>
        <w:ind w:left="6162" w:hanging="360"/>
      </w:pPr>
      <w:rPr>
        <w:rFonts w:ascii="Wingdings" w:hAnsi="Wingdings" w:hint="default"/>
      </w:rPr>
    </w:lvl>
    <w:lvl w:ilvl="6" w:tplc="04100001" w:tentative="1">
      <w:start w:val="1"/>
      <w:numFmt w:val="bullet"/>
      <w:lvlText w:val=""/>
      <w:lvlJc w:val="left"/>
      <w:pPr>
        <w:ind w:left="6882" w:hanging="360"/>
      </w:pPr>
      <w:rPr>
        <w:rFonts w:ascii="Symbol" w:hAnsi="Symbol" w:hint="default"/>
      </w:rPr>
    </w:lvl>
    <w:lvl w:ilvl="7" w:tplc="04100003" w:tentative="1">
      <w:start w:val="1"/>
      <w:numFmt w:val="bullet"/>
      <w:lvlText w:val="o"/>
      <w:lvlJc w:val="left"/>
      <w:pPr>
        <w:ind w:left="7602" w:hanging="360"/>
      </w:pPr>
      <w:rPr>
        <w:rFonts w:ascii="Courier New" w:hAnsi="Courier New" w:hint="default"/>
      </w:rPr>
    </w:lvl>
    <w:lvl w:ilvl="8" w:tplc="04100005" w:tentative="1">
      <w:start w:val="1"/>
      <w:numFmt w:val="bullet"/>
      <w:lvlText w:val=""/>
      <w:lvlJc w:val="left"/>
      <w:pPr>
        <w:ind w:left="8322" w:hanging="360"/>
      </w:pPr>
      <w:rPr>
        <w:rFonts w:ascii="Wingdings" w:hAnsi="Wingdings" w:hint="default"/>
      </w:rPr>
    </w:lvl>
  </w:abstractNum>
  <w:abstractNum w:abstractNumId="9">
    <w:nsid w:val="42EE65DC"/>
    <w:multiLevelType w:val="hybridMultilevel"/>
    <w:tmpl w:val="04EC4494"/>
    <w:lvl w:ilvl="0" w:tplc="E43C8D2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94D4F76"/>
    <w:multiLevelType w:val="hybridMultilevel"/>
    <w:tmpl w:val="42123318"/>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11">
    <w:nsid w:val="5C4F1EAE"/>
    <w:multiLevelType w:val="multilevel"/>
    <w:tmpl w:val="8564D268"/>
    <w:lvl w:ilvl="0">
      <w:start w:val="1"/>
      <w:numFmt w:val="upperLetter"/>
      <w:lvlText w:val="%1."/>
      <w:lvlJc w:val="left"/>
      <w:pPr>
        <w:tabs>
          <w:tab w:val="num" w:pos="720"/>
        </w:tabs>
        <w:ind w:left="720" w:hanging="360"/>
      </w:pPr>
      <w:rPr>
        <w:rFonts w:cs="Times New Roman"/>
      </w:rPr>
    </w:lvl>
    <w:lvl w:ilvl="1">
      <w:start w:val="1"/>
      <w:numFmt w:val="upperLetter"/>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2">
    <w:nsid w:val="65D90393"/>
    <w:multiLevelType w:val="hybridMultilevel"/>
    <w:tmpl w:val="134EE4F0"/>
    <w:lvl w:ilvl="0" w:tplc="E2C68446">
      <w:numFmt w:val="bullet"/>
      <w:lvlText w:val="-"/>
      <w:lvlJc w:val="left"/>
      <w:pPr>
        <w:ind w:left="1068" w:hanging="360"/>
      </w:pPr>
      <w:rPr>
        <w:rFonts w:ascii="Times New Roman" w:eastAsia="Times New Roman" w:hAnsi="Times New Roman"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nsid w:val="6CDD1FB6"/>
    <w:multiLevelType w:val="hybridMultilevel"/>
    <w:tmpl w:val="A448DDFA"/>
    <w:lvl w:ilvl="0" w:tplc="59E880E8">
      <w:start w:val="2"/>
      <w:numFmt w:val="bullet"/>
      <w:lvlText w:val="-"/>
      <w:lvlJc w:val="left"/>
      <w:pPr>
        <w:ind w:left="420" w:hanging="360"/>
      </w:pPr>
      <w:rPr>
        <w:rFonts w:ascii="Times New Roman" w:eastAsia="Times New Roman" w:hAnsi="Times New Roman" w:hint="default"/>
      </w:rPr>
    </w:lvl>
    <w:lvl w:ilvl="1" w:tplc="04100003">
      <w:start w:val="1"/>
      <w:numFmt w:val="bullet"/>
      <w:lvlText w:val="o"/>
      <w:lvlJc w:val="left"/>
      <w:pPr>
        <w:ind w:left="1140" w:hanging="360"/>
      </w:pPr>
      <w:rPr>
        <w:rFonts w:ascii="Courier New" w:hAnsi="Courier New" w:hint="default"/>
      </w:rPr>
    </w:lvl>
    <w:lvl w:ilvl="2" w:tplc="04100005">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4">
    <w:nsid w:val="6F153EBE"/>
    <w:multiLevelType w:val="hybridMultilevel"/>
    <w:tmpl w:val="8F1CA158"/>
    <w:lvl w:ilvl="0" w:tplc="301E3E12">
      <w:start w:val="1"/>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5">
    <w:nsid w:val="7349175A"/>
    <w:multiLevelType w:val="hybridMultilevel"/>
    <w:tmpl w:val="265626EE"/>
    <w:lvl w:ilvl="0" w:tplc="0410000F">
      <w:start w:val="1"/>
      <w:numFmt w:val="decimal"/>
      <w:lvlText w:val="%1."/>
      <w:lvlJc w:val="left"/>
      <w:pPr>
        <w:tabs>
          <w:tab w:val="num" w:pos="720"/>
        </w:tabs>
        <w:ind w:left="720" w:hanging="360"/>
      </w:pPr>
      <w:rPr>
        <w:rFonts w:cs="Times New Roman"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75952EC9"/>
    <w:multiLevelType w:val="hybridMultilevel"/>
    <w:tmpl w:val="A8008B8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79F620D2"/>
    <w:multiLevelType w:val="hybridMultilevel"/>
    <w:tmpl w:val="7506D5D4"/>
    <w:lvl w:ilvl="0" w:tplc="342E2E7A">
      <w:numFmt w:val="bullet"/>
      <w:lvlText w:val="-"/>
      <w:lvlJc w:val="left"/>
      <w:pPr>
        <w:tabs>
          <w:tab w:val="num" w:pos="1593"/>
        </w:tabs>
        <w:ind w:left="1593" w:hanging="885"/>
      </w:pPr>
      <w:rPr>
        <w:rFonts w:ascii="Times New Roman" w:eastAsia="Times New Roman" w:hAnsi="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num w:numId="1">
    <w:abstractNumId w:val="15"/>
  </w:num>
  <w:num w:numId="2">
    <w:abstractNumId w:val="0"/>
  </w:num>
  <w:num w:numId="3">
    <w:abstractNumId w:val="4"/>
  </w:num>
  <w:num w:numId="4">
    <w:abstractNumId w:val="2"/>
  </w:num>
  <w:num w:numId="5">
    <w:abstractNumId w:val="11"/>
  </w:num>
  <w:num w:numId="6">
    <w:abstractNumId w:val="16"/>
  </w:num>
  <w:num w:numId="7">
    <w:abstractNumId w:val="5"/>
  </w:num>
  <w:num w:numId="8">
    <w:abstractNumId w:val="3"/>
  </w:num>
  <w:num w:numId="9">
    <w:abstractNumId w:val="13"/>
  </w:num>
  <w:num w:numId="10">
    <w:abstractNumId w:val="6"/>
  </w:num>
  <w:num w:numId="11">
    <w:abstractNumId w:val="10"/>
  </w:num>
  <w:num w:numId="12">
    <w:abstractNumId w:val="14"/>
  </w:num>
  <w:num w:numId="13">
    <w:abstractNumId w:val="17"/>
  </w:num>
  <w:num w:numId="14">
    <w:abstractNumId w:val="9"/>
  </w:num>
  <w:num w:numId="15">
    <w:abstractNumId w:val="12"/>
  </w:num>
  <w:num w:numId="16">
    <w:abstractNumId w:val="1"/>
  </w:num>
  <w:num w:numId="17">
    <w:abstractNumId w:val="8"/>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528C"/>
    <w:rsid w:val="00001E5F"/>
    <w:rsid w:val="000053EB"/>
    <w:rsid w:val="00017548"/>
    <w:rsid w:val="0003199B"/>
    <w:rsid w:val="0003528C"/>
    <w:rsid w:val="000359C8"/>
    <w:rsid w:val="0004089C"/>
    <w:rsid w:val="00047C0B"/>
    <w:rsid w:val="00050647"/>
    <w:rsid w:val="00050F0C"/>
    <w:rsid w:val="00051B97"/>
    <w:rsid w:val="000526B3"/>
    <w:rsid w:val="000559BB"/>
    <w:rsid w:val="000616F3"/>
    <w:rsid w:val="0006589C"/>
    <w:rsid w:val="00072FE3"/>
    <w:rsid w:val="00073668"/>
    <w:rsid w:val="000765B6"/>
    <w:rsid w:val="00080328"/>
    <w:rsid w:val="00083C50"/>
    <w:rsid w:val="0008509A"/>
    <w:rsid w:val="00091E15"/>
    <w:rsid w:val="000A12B5"/>
    <w:rsid w:val="000A26C7"/>
    <w:rsid w:val="000B11D8"/>
    <w:rsid w:val="000B4795"/>
    <w:rsid w:val="000B7AEA"/>
    <w:rsid w:val="000B7E4A"/>
    <w:rsid w:val="000C48CE"/>
    <w:rsid w:val="000C4D06"/>
    <w:rsid w:val="000D6823"/>
    <w:rsid w:val="000E39F0"/>
    <w:rsid w:val="000E6926"/>
    <w:rsid w:val="000F5B8F"/>
    <w:rsid w:val="000F6F47"/>
    <w:rsid w:val="000F7EEA"/>
    <w:rsid w:val="0010293B"/>
    <w:rsid w:val="00111192"/>
    <w:rsid w:val="00114658"/>
    <w:rsid w:val="001179AD"/>
    <w:rsid w:val="001323E3"/>
    <w:rsid w:val="001416BC"/>
    <w:rsid w:val="001508A2"/>
    <w:rsid w:val="00151A06"/>
    <w:rsid w:val="0015495B"/>
    <w:rsid w:val="0015496E"/>
    <w:rsid w:val="00157F20"/>
    <w:rsid w:val="00161A3A"/>
    <w:rsid w:val="00163434"/>
    <w:rsid w:val="00163BC4"/>
    <w:rsid w:val="001703B0"/>
    <w:rsid w:val="001852AD"/>
    <w:rsid w:val="001929A5"/>
    <w:rsid w:val="001A1A5F"/>
    <w:rsid w:val="001A3671"/>
    <w:rsid w:val="001A4AFD"/>
    <w:rsid w:val="001A504A"/>
    <w:rsid w:val="001B371E"/>
    <w:rsid w:val="001B5BFB"/>
    <w:rsid w:val="001C6144"/>
    <w:rsid w:val="001D613E"/>
    <w:rsid w:val="001E101F"/>
    <w:rsid w:val="001E50F5"/>
    <w:rsid w:val="001E740D"/>
    <w:rsid w:val="001F137C"/>
    <w:rsid w:val="001F7136"/>
    <w:rsid w:val="00203456"/>
    <w:rsid w:val="002047C3"/>
    <w:rsid w:val="00206B28"/>
    <w:rsid w:val="002071B6"/>
    <w:rsid w:val="0021583B"/>
    <w:rsid w:val="002261D2"/>
    <w:rsid w:val="002418F3"/>
    <w:rsid w:val="00242ECD"/>
    <w:rsid w:val="00244598"/>
    <w:rsid w:val="00244B87"/>
    <w:rsid w:val="00252D68"/>
    <w:rsid w:val="0025604D"/>
    <w:rsid w:val="00256AF5"/>
    <w:rsid w:val="002620CA"/>
    <w:rsid w:val="00262497"/>
    <w:rsid w:val="002770C0"/>
    <w:rsid w:val="00280CDE"/>
    <w:rsid w:val="002817F7"/>
    <w:rsid w:val="002A07EC"/>
    <w:rsid w:val="002A10E3"/>
    <w:rsid w:val="002A29FF"/>
    <w:rsid w:val="002A4B0B"/>
    <w:rsid w:val="002B38BB"/>
    <w:rsid w:val="002B694D"/>
    <w:rsid w:val="002B77C5"/>
    <w:rsid w:val="002D14E1"/>
    <w:rsid w:val="002D2A7A"/>
    <w:rsid w:val="002D7B79"/>
    <w:rsid w:val="002E0D5C"/>
    <w:rsid w:val="002E54DC"/>
    <w:rsid w:val="002F2178"/>
    <w:rsid w:val="002F22BC"/>
    <w:rsid w:val="003038D3"/>
    <w:rsid w:val="0031204D"/>
    <w:rsid w:val="003156C8"/>
    <w:rsid w:val="00316B78"/>
    <w:rsid w:val="00323EF4"/>
    <w:rsid w:val="003347A1"/>
    <w:rsid w:val="00335AC9"/>
    <w:rsid w:val="00347C37"/>
    <w:rsid w:val="003558F2"/>
    <w:rsid w:val="0035765D"/>
    <w:rsid w:val="00364135"/>
    <w:rsid w:val="00367543"/>
    <w:rsid w:val="003746D2"/>
    <w:rsid w:val="0038079A"/>
    <w:rsid w:val="003808F2"/>
    <w:rsid w:val="00385D5E"/>
    <w:rsid w:val="0038605D"/>
    <w:rsid w:val="00391AD0"/>
    <w:rsid w:val="003A0669"/>
    <w:rsid w:val="003A3504"/>
    <w:rsid w:val="003B01DD"/>
    <w:rsid w:val="003B27A2"/>
    <w:rsid w:val="003C47AE"/>
    <w:rsid w:val="003C4976"/>
    <w:rsid w:val="003C4B35"/>
    <w:rsid w:val="003D13B0"/>
    <w:rsid w:val="003E6A7E"/>
    <w:rsid w:val="003F5782"/>
    <w:rsid w:val="003F69BB"/>
    <w:rsid w:val="004041E5"/>
    <w:rsid w:val="00423161"/>
    <w:rsid w:val="00425999"/>
    <w:rsid w:val="00436194"/>
    <w:rsid w:val="00443D8E"/>
    <w:rsid w:val="00451F74"/>
    <w:rsid w:val="00456154"/>
    <w:rsid w:val="004611E8"/>
    <w:rsid w:val="00463654"/>
    <w:rsid w:val="00480B42"/>
    <w:rsid w:val="00483888"/>
    <w:rsid w:val="00487F29"/>
    <w:rsid w:val="0049388D"/>
    <w:rsid w:val="00494C4D"/>
    <w:rsid w:val="00495118"/>
    <w:rsid w:val="004A1717"/>
    <w:rsid w:val="004A7D68"/>
    <w:rsid w:val="004D1306"/>
    <w:rsid w:val="004D14D0"/>
    <w:rsid w:val="004D267C"/>
    <w:rsid w:val="004D4FE0"/>
    <w:rsid w:val="004E1278"/>
    <w:rsid w:val="004E7A8A"/>
    <w:rsid w:val="004F5665"/>
    <w:rsid w:val="004F782D"/>
    <w:rsid w:val="005124CC"/>
    <w:rsid w:val="00524423"/>
    <w:rsid w:val="00531F1A"/>
    <w:rsid w:val="005374C2"/>
    <w:rsid w:val="00553299"/>
    <w:rsid w:val="00556BCF"/>
    <w:rsid w:val="00560E3D"/>
    <w:rsid w:val="005622D9"/>
    <w:rsid w:val="00565972"/>
    <w:rsid w:val="00581294"/>
    <w:rsid w:val="00583790"/>
    <w:rsid w:val="00584747"/>
    <w:rsid w:val="00590CC4"/>
    <w:rsid w:val="00597F7B"/>
    <w:rsid w:val="005A2EC7"/>
    <w:rsid w:val="005A6651"/>
    <w:rsid w:val="005B041C"/>
    <w:rsid w:val="005B55F6"/>
    <w:rsid w:val="005B5A6C"/>
    <w:rsid w:val="005B6F1D"/>
    <w:rsid w:val="005C5D55"/>
    <w:rsid w:val="005D044A"/>
    <w:rsid w:val="005E0129"/>
    <w:rsid w:val="005E4C67"/>
    <w:rsid w:val="005F68FE"/>
    <w:rsid w:val="005F6964"/>
    <w:rsid w:val="005F7E87"/>
    <w:rsid w:val="0060235A"/>
    <w:rsid w:val="00602AE6"/>
    <w:rsid w:val="006047D8"/>
    <w:rsid w:val="006108BE"/>
    <w:rsid w:val="006277C1"/>
    <w:rsid w:val="00630073"/>
    <w:rsid w:val="0063308D"/>
    <w:rsid w:val="00643AF2"/>
    <w:rsid w:val="00652DE7"/>
    <w:rsid w:val="00661087"/>
    <w:rsid w:val="00664817"/>
    <w:rsid w:val="006758D9"/>
    <w:rsid w:val="00676955"/>
    <w:rsid w:val="00693E58"/>
    <w:rsid w:val="006947F8"/>
    <w:rsid w:val="00697A42"/>
    <w:rsid w:val="006A0DD3"/>
    <w:rsid w:val="006B1FE1"/>
    <w:rsid w:val="006B34FC"/>
    <w:rsid w:val="006D18AD"/>
    <w:rsid w:val="006F6B61"/>
    <w:rsid w:val="00700266"/>
    <w:rsid w:val="00711CBA"/>
    <w:rsid w:val="007134E2"/>
    <w:rsid w:val="00716964"/>
    <w:rsid w:val="00717258"/>
    <w:rsid w:val="00723743"/>
    <w:rsid w:val="00724CB4"/>
    <w:rsid w:val="007317BD"/>
    <w:rsid w:val="00733642"/>
    <w:rsid w:val="007414DC"/>
    <w:rsid w:val="00742B4F"/>
    <w:rsid w:val="0074578C"/>
    <w:rsid w:val="0075104C"/>
    <w:rsid w:val="00762442"/>
    <w:rsid w:val="00771E02"/>
    <w:rsid w:val="0077546B"/>
    <w:rsid w:val="0078645E"/>
    <w:rsid w:val="00787444"/>
    <w:rsid w:val="00797145"/>
    <w:rsid w:val="007A2A7D"/>
    <w:rsid w:val="007B14FE"/>
    <w:rsid w:val="007B376A"/>
    <w:rsid w:val="007C1019"/>
    <w:rsid w:val="007C14B3"/>
    <w:rsid w:val="007C1B27"/>
    <w:rsid w:val="007C3FDA"/>
    <w:rsid w:val="007C6E28"/>
    <w:rsid w:val="007D2B8C"/>
    <w:rsid w:val="007E2316"/>
    <w:rsid w:val="007F4D51"/>
    <w:rsid w:val="007F6239"/>
    <w:rsid w:val="007F76BB"/>
    <w:rsid w:val="00804E0F"/>
    <w:rsid w:val="00804FDC"/>
    <w:rsid w:val="00827BD8"/>
    <w:rsid w:val="00832915"/>
    <w:rsid w:val="00835C9C"/>
    <w:rsid w:val="00836D0C"/>
    <w:rsid w:val="00840C57"/>
    <w:rsid w:val="008415A4"/>
    <w:rsid w:val="00846F88"/>
    <w:rsid w:val="00854776"/>
    <w:rsid w:val="00856B49"/>
    <w:rsid w:val="00860821"/>
    <w:rsid w:val="008700E7"/>
    <w:rsid w:val="00887762"/>
    <w:rsid w:val="008A05C6"/>
    <w:rsid w:val="008A6A04"/>
    <w:rsid w:val="008A6F4D"/>
    <w:rsid w:val="008B0116"/>
    <w:rsid w:val="008B5A50"/>
    <w:rsid w:val="008C0CC2"/>
    <w:rsid w:val="008C13CC"/>
    <w:rsid w:val="008C15F9"/>
    <w:rsid w:val="008C2BEE"/>
    <w:rsid w:val="008C6774"/>
    <w:rsid w:val="008E5A34"/>
    <w:rsid w:val="008F5089"/>
    <w:rsid w:val="0092057C"/>
    <w:rsid w:val="00946034"/>
    <w:rsid w:val="009513BA"/>
    <w:rsid w:val="00952911"/>
    <w:rsid w:val="009706F8"/>
    <w:rsid w:val="00985B4E"/>
    <w:rsid w:val="0099286E"/>
    <w:rsid w:val="00995F1F"/>
    <w:rsid w:val="009A1AB5"/>
    <w:rsid w:val="009A49DC"/>
    <w:rsid w:val="009A4B25"/>
    <w:rsid w:val="009B00C5"/>
    <w:rsid w:val="009B04EA"/>
    <w:rsid w:val="009B2A26"/>
    <w:rsid w:val="009B7B40"/>
    <w:rsid w:val="009C135C"/>
    <w:rsid w:val="009C652C"/>
    <w:rsid w:val="009D0679"/>
    <w:rsid w:val="009D38F1"/>
    <w:rsid w:val="009D441F"/>
    <w:rsid w:val="009D480D"/>
    <w:rsid w:val="009D5F5D"/>
    <w:rsid w:val="009E23B1"/>
    <w:rsid w:val="009E771E"/>
    <w:rsid w:val="009F66AD"/>
    <w:rsid w:val="00A040CA"/>
    <w:rsid w:val="00A054FE"/>
    <w:rsid w:val="00A1049E"/>
    <w:rsid w:val="00A12A15"/>
    <w:rsid w:val="00A13B62"/>
    <w:rsid w:val="00A13C27"/>
    <w:rsid w:val="00A31684"/>
    <w:rsid w:val="00A3704C"/>
    <w:rsid w:val="00A4225C"/>
    <w:rsid w:val="00A46AFB"/>
    <w:rsid w:val="00A53164"/>
    <w:rsid w:val="00A6451C"/>
    <w:rsid w:val="00A8132D"/>
    <w:rsid w:val="00A82812"/>
    <w:rsid w:val="00A9394F"/>
    <w:rsid w:val="00A941D7"/>
    <w:rsid w:val="00AA375B"/>
    <w:rsid w:val="00AA6DAC"/>
    <w:rsid w:val="00AA7328"/>
    <w:rsid w:val="00AC35BB"/>
    <w:rsid w:val="00AC7DC0"/>
    <w:rsid w:val="00AD2516"/>
    <w:rsid w:val="00AD4EFE"/>
    <w:rsid w:val="00AD5A38"/>
    <w:rsid w:val="00AE0F1C"/>
    <w:rsid w:val="00AF2D83"/>
    <w:rsid w:val="00AF3A24"/>
    <w:rsid w:val="00AF3C66"/>
    <w:rsid w:val="00B065D8"/>
    <w:rsid w:val="00B11716"/>
    <w:rsid w:val="00B123DE"/>
    <w:rsid w:val="00B20FEC"/>
    <w:rsid w:val="00B361AF"/>
    <w:rsid w:val="00B364A1"/>
    <w:rsid w:val="00B459C4"/>
    <w:rsid w:val="00B47B75"/>
    <w:rsid w:val="00B524E1"/>
    <w:rsid w:val="00B601F1"/>
    <w:rsid w:val="00B64D57"/>
    <w:rsid w:val="00B715E2"/>
    <w:rsid w:val="00B76E84"/>
    <w:rsid w:val="00B90684"/>
    <w:rsid w:val="00B94386"/>
    <w:rsid w:val="00B96822"/>
    <w:rsid w:val="00BA20CC"/>
    <w:rsid w:val="00BA4D2A"/>
    <w:rsid w:val="00BA7A94"/>
    <w:rsid w:val="00BC1812"/>
    <w:rsid w:val="00BC1BD2"/>
    <w:rsid w:val="00BE0E0A"/>
    <w:rsid w:val="00BE4381"/>
    <w:rsid w:val="00BE691D"/>
    <w:rsid w:val="00BE770E"/>
    <w:rsid w:val="00BE7E58"/>
    <w:rsid w:val="00C01AE8"/>
    <w:rsid w:val="00C04C77"/>
    <w:rsid w:val="00C11DA8"/>
    <w:rsid w:val="00C22996"/>
    <w:rsid w:val="00C4025E"/>
    <w:rsid w:val="00C419C0"/>
    <w:rsid w:val="00C445AE"/>
    <w:rsid w:val="00C535E8"/>
    <w:rsid w:val="00C60687"/>
    <w:rsid w:val="00C6204C"/>
    <w:rsid w:val="00C64864"/>
    <w:rsid w:val="00C713AD"/>
    <w:rsid w:val="00C81569"/>
    <w:rsid w:val="00C82799"/>
    <w:rsid w:val="00CA06F4"/>
    <w:rsid w:val="00CA7F62"/>
    <w:rsid w:val="00CB01FF"/>
    <w:rsid w:val="00CC4F7E"/>
    <w:rsid w:val="00CD1FB9"/>
    <w:rsid w:val="00CD56B6"/>
    <w:rsid w:val="00CE6586"/>
    <w:rsid w:val="00CF0031"/>
    <w:rsid w:val="00D02843"/>
    <w:rsid w:val="00D06F57"/>
    <w:rsid w:val="00D114BA"/>
    <w:rsid w:val="00D12F9A"/>
    <w:rsid w:val="00D27515"/>
    <w:rsid w:val="00D305D8"/>
    <w:rsid w:val="00D44A4B"/>
    <w:rsid w:val="00D44C71"/>
    <w:rsid w:val="00D6234A"/>
    <w:rsid w:val="00D741D6"/>
    <w:rsid w:val="00D74C5F"/>
    <w:rsid w:val="00D75271"/>
    <w:rsid w:val="00D77258"/>
    <w:rsid w:val="00D82708"/>
    <w:rsid w:val="00D91649"/>
    <w:rsid w:val="00D91DA2"/>
    <w:rsid w:val="00DA492C"/>
    <w:rsid w:val="00DB4174"/>
    <w:rsid w:val="00DC3C79"/>
    <w:rsid w:val="00DC490B"/>
    <w:rsid w:val="00DD3C48"/>
    <w:rsid w:val="00DD7D32"/>
    <w:rsid w:val="00DE5C22"/>
    <w:rsid w:val="00DE5E55"/>
    <w:rsid w:val="00DE65C3"/>
    <w:rsid w:val="00DE7F0A"/>
    <w:rsid w:val="00DF2C39"/>
    <w:rsid w:val="00E12089"/>
    <w:rsid w:val="00E2380D"/>
    <w:rsid w:val="00E314D3"/>
    <w:rsid w:val="00E31C1C"/>
    <w:rsid w:val="00E40760"/>
    <w:rsid w:val="00E43ECF"/>
    <w:rsid w:val="00E46754"/>
    <w:rsid w:val="00E500CB"/>
    <w:rsid w:val="00E50A20"/>
    <w:rsid w:val="00E51D6D"/>
    <w:rsid w:val="00E643D7"/>
    <w:rsid w:val="00E77FBF"/>
    <w:rsid w:val="00E83DFD"/>
    <w:rsid w:val="00E9211C"/>
    <w:rsid w:val="00E92B89"/>
    <w:rsid w:val="00E94FA3"/>
    <w:rsid w:val="00E95C61"/>
    <w:rsid w:val="00EB23EE"/>
    <w:rsid w:val="00EB617C"/>
    <w:rsid w:val="00EC0B7F"/>
    <w:rsid w:val="00EC3265"/>
    <w:rsid w:val="00EC614C"/>
    <w:rsid w:val="00ED0FCE"/>
    <w:rsid w:val="00ED1C84"/>
    <w:rsid w:val="00ED784D"/>
    <w:rsid w:val="00EE21FA"/>
    <w:rsid w:val="00EE7995"/>
    <w:rsid w:val="00F04EED"/>
    <w:rsid w:val="00F06619"/>
    <w:rsid w:val="00F13A8E"/>
    <w:rsid w:val="00F307AF"/>
    <w:rsid w:val="00F32114"/>
    <w:rsid w:val="00F550EE"/>
    <w:rsid w:val="00F55AF9"/>
    <w:rsid w:val="00F5791E"/>
    <w:rsid w:val="00F61D07"/>
    <w:rsid w:val="00F70270"/>
    <w:rsid w:val="00F74A76"/>
    <w:rsid w:val="00F7646D"/>
    <w:rsid w:val="00F80F33"/>
    <w:rsid w:val="00F90236"/>
    <w:rsid w:val="00FA4074"/>
    <w:rsid w:val="00FB3C5A"/>
    <w:rsid w:val="00FB72F7"/>
    <w:rsid w:val="00FC134F"/>
    <w:rsid w:val="00FC5382"/>
    <w:rsid w:val="00FD12D6"/>
    <w:rsid w:val="00FE063A"/>
    <w:rsid w:val="00FE1D9D"/>
    <w:rsid w:val="00FE5AB4"/>
    <w:rsid w:val="00FF4CC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FDA"/>
    <w:rPr>
      <w:sz w:val="20"/>
      <w:szCs w:val="20"/>
    </w:rPr>
  </w:style>
  <w:style w:type="paragraph" w:styleId="Heading1">
    <w:name w:val="heading 1"/>
    <w:basedOn w:val="Normal"/>
    <w:next w:val="Normal"/>
    <w:link w:val="Heading1Char"/>
    <w:uiPriority w:val="99"/>
    <w:qFormat/>
    <w:rsid w:val="00FD12D6"/>
    <w:pPr>
      <w:keepNext/>
      <w:spacing w:before="240" w:after="60"/>
      <w:outlineLvl w:val="0"/>
    </w:pPr>
    <w:rPr>
      <w:rFonts w:ascii="Cambria" w:hAnsi="Cambria"/>
      <w:b/>
      <w:bCs/>
      <w:kern w:val="32"/>
      <w:sz w:val="32"/>
      <w:szCs w:val="32"/>
    </w:rPr>
  </w:style>
  <w:style w:type="paragraph" w:styleId="Heading6">
    <w:name w:val="heading 6"/>
    <w:basedOn w:val="Normal"/>
    <w:next w:val="Normal"/>
    <w:link w:val="Heading6Char"/>
    <w:uiPriority w:val="99"/>
    <w:qFormat/>
    <w:rsid w:val="0003528C"/>
    <w:pPr>
      <w:keepNext/>
      <w:spacing w:before="240" w:after="240"/>
      <w:ind w:left="5812" w:hanging="2552"/>
      <w:jc w:val="both"/>
      <w:outlineLvl w:val="5"/>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12D6"/>
    <w:rPr>
      <w:rFonts w:ascii="Cambria" w:hAnsi="Cambria"/>
      <w:b/>
      <w:kern w:val="32"/>
      <w:sz w:val="32"/>
    </w:rPr>
  </w:style>
  <w:style w:type="character" w:customStyle="1" w:styleId="Heading6Char">
    <w:name w:val="Heading 6 Char"/>
    <w:basedOn w:val="DefaultParagraphFont"/>
    <w:link w:val="Heading6"/>
    <w:uiPriority w:val="9"/>
    <w:semiHidden/>
    <w:rsid w:val="003D2BA5"/>
    <w:rPr>
      <w:rFonts w:asciiTheme="minorHAnsi" w:eastAsiaTheme="minorEastAsia" w:hAnsiTheme="minorHAnsi" w:cstheme="minorBidi"/>
      <w:b/>
      <w:bCs/>
    </w:rPr>
  </w:style>
  <w:style w:type="paragraph" w:customStyle="1" w:styleId="BodyTable">
    <w:name w:val="BodyTable"/>
    <w:basedOn w:val="Normal"/>
    <w:uiPriority w:val="99"/>
    <w:rsid w:val="0003528C"/>
    <w:pPr>
      <w:spacing w:before="115"/>
    </w:pPr>
  </w:style>
  <w:style w:type="paragraph" w:styleId="BodyText">
    <w:name w:val="Body Text"/>
    <w:basedOn w:val="Normal"/>
    <w:link w:val="BodyTextChar"/>
    <w:uiPriority w:val="99"/>
    <w:rsid w:val="0003528C"/>
    <w:pPr>
      <w:jc w:val="center"/>
    </w:pPr>
  </w:style>
  <w:style w:type="character" w:customStyle="1" w:styleId="BodyTextChar">
    <w:name w:val="Body Text Char"/>
    <w:basedOn w:val="DefaultParagraphFont"/>
    <w:link w:val="BodyText"/>
    <w:uiPriority w:val="99"/>
    <w:semiHidden/>
    <w:rsid w:val="003D2BA5"/>
    <w:rPr>
      <w:sz w:val="20"/>
      <w:szCs w:val="20"/>
    </w:rPr>
  </w:style>
  <w:style w:type="table" w:styleId="TableGrid">
    <w:name w:val="Table Grid"/>
    <w:basedOn w:val="TableNormal"/>
    <w:uiPriority w:val="99"/>
    <w:rsid w:val="0003528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3528C"/>
    <w:pPr>
      <w:tabs>
        <w:tab w:val="center" w:pos="4819"/>
        <w:tab w:val="right" w:pos="9638"/>
      </w:tabs>
    </w:pPr>
  </w:style>
  <w:style w:type="character" w:customStyle="1" w:styleId="FooterChar">
    <w:name w:val="Footer Char"/>
    <w:basedOn w:val="DefaultParagraphFont"/>
    <w:link w:val="Footer"/>
    <w:uiPriority w:val="99"/>
    <w:semiHidden/>
    <w:rsid w:val="003D2BA5"/>
    <w:rPr>
      <w:sz w:val="20"/>
      <w:szCs w:val="20"/>
    </w:rPr>
  </w:style>
  <w:style w:type="character" w:styleId="PageNumber">
    <w:name w:val="page number"/>
    <w:basedOn w:val="DefaultParagraphFont"/>
    <w:uiPriority w:val="99"/>
    <w:rsid w:val="0003528C"/>
    <w:rPr>
      <w:rFonts w:cs="Times New Roman"/>
    </w:rPr>
  </w:style>
  <w:style w:type="character" w:styleId="Hyperlink">
    <w:name w:val="Hyperlink"/>
    <w:basedOn w:val="DefaultParagraphFont"/>
    <w:uiPriority w:val="99"/>
    <w:rsid w:val="0003528C"/>
    <w:rPr>
      <w:rFonts w:cs="Times New Roman"/>
      <w:color w:val="457FAF"/>
      <w:u w:val="single"/>
    </w:rPr>
  </w:style>
  <w:style w:type="character" w:customStyle="1" w:styleId="rvts10">
    <w:name w:val="rvts10"/>
    <w:uiPriority w:val="99"/>
    <w:rsid w:val="0003528C"/>
    <w:rPr>
      <w:rFonts w:ascii="Verdana" w:hAnsi="Verdana"/>
    </w:rPr>
  </w:style>
  <w:style w:type="character" w:customStyle="1" w:styleId="rvts11">
    <w:name w:val="rvts11"/>
    <w:uiPriority w:val="99"/>
    <w:rsid w:val="0003528C"/>
    <w:rPr>
      <w:rFonts w:ascii="Verdana" w:hAnsi="Verdana"/>
      <w:b/>
      <w:i/>
    </w:rPr>
  </w:style>
  <w:style w:type="character" w:customStyle="1" w:styleId="rvts62">
    <w:name w:val="rvts62"/>
    <w:uiPriority w:val="99"/>
    <w:rsid w:val="0003528C"/>
    <w:rPr>
      <w:rFonts w:ascii="Verdana" w:hAnsi="Verdana"/>
    </w:rPr>
  </w:style>
  <w:style w:type="paragraph" w:customStyle="1" w:styleId="rvps2">
    <w:name w:val="rvps2"/>
    <w:basedOn w:val="Normal"/>
    <w:uiPriority w:val="99"/>
    <w:rsid w:val="00A8132D"/>
    <w:pPr>
      <w:spacing w:after="60" w:line="300" w:lineRule="atLeast"/>
      <w:jc w:val="both"/>
    </w:pPr>
    <w:rPr>
      <w:sz w:val="24"/>
      <w:szCs w:val="24"/>
    </w:rPr>
  </w:style>
  <w:style w:type="paragraph" w:customStyle="1" w:styleId="rvps3">
    <w:name w:val="rvps3"/>
    <w:basedOn w:val="Normal"/>
    <w:uiPriority w:val="99"/>
    <w:rsid w:val="00A8132D"/>
    <w:pPr>
      <w:spacing w:after="60" w:line="300" w:lineRule="atLeast"/>
      <w:jc w:val="both"/>
    </w:pPr>
    <w:rPr>
      <w:sz w:val="24"/>
      <w:szCs w:val="24"/>
    </w:rPr>
  </w:style>
  <w:style w:type="paragraph" w:styleId="NormalWeb">
    <w:name w:val="Normal (Web)"/>
    <w:basedOn w:val="Normal"/>
    <w:uiPriority w:val="99"/>
    <w:rsid w:val="00B065D8"/>
    <w:rPr>
      <w:sz w:val="24"/>
      <w:szCs w:val="24"/>
    </w:rPr>
  </w:style>
  <w:style w:type="paragraph" w:customStyle="1" w:styleId="rvps6">
    <w:name w:val="rvps6"/>
    <w:basedOn w:val="Normal"/>
    <w:uiPriority w:val="99"/>
    <w:rsid w:val="00B065D8"/>
    <w:pPr>
      <w:spacing w:after="60" w:line="300" w:lineRule="atLeast"/>
      <w:jc w:val="both"/>
    </w:pPr>
    <w:rPr>
      <w:sz w:val="24"/>
      <w:szCs w:val="24"/>
    </w:rPr>
  </w:style>
  <w:style w:type="character" w:customStyle="1" w:styleId="rvts12">
    <w:name w:val="rvts12"/>
    <w:uiPriority w:val="99"/>
    <w:rsid w:val="00B065D8"/>
    <w:rPr>
      <w:rFonts w:ascii="Verdana" w:hAnsi="Verdana"/>
    </w:rPr>
  </w:style>
  <w:style w:type="paragraph" w:customStyle="1" w:styleId="ABLOCKPARA">
    <w:name w:val="A BLOCK PARA"/>
    <w:basedOn w:val="Normal"/>
    <w:uiPriority w:val="99"/>
    <w:rsid w:val="00D91649"/>
    <w:rPr>
      <w:rFonts w:ascii="Book Antiqua" w:hAnsi="Book Antiqua"/>
      <w:sz w:val="22"/>
    </w:rPr>
  </w:style>
  <w:style w:type="paragraph" w:styleId="BalloonText">
    <w:name w:val="Balloon Text"/>
    <w:basedOn w:val="Normal"/>
    <w:link w:val="BalloonTextChar"/>
    <w:uiPriority w:val="99"/>
    <w:semiHidden/>
    <w:rsid w:val="006277C1"/>
    <w:rPr>
      <w:rFonts w:ascii="Tahoma" w:hAnsi="Tahoma" w:cs="Tahoma"/>
      <w:sz w:val="16"/>
      <w:szCs w:val="16"/>
    </w:rPr>
  </w:style>
  <w:style w:type="character" w:customStyle="1" w:styleId="BalloonTextChar">
    <w:name w:val="Balloon Text Char"/>
    <w:basedOn w:val="DefaultParagraphFont"/>
    <w:link w:val="BalloonText"/>
    <w:uiPriority w:val="99"/>
    <w:semiHidden/>
    <w:rsid w:val="003D2BA5"/>
    <w:rPr>
      <w:sz w:val="0"/>
      <w:szCs w:val="0"/>
    </w:rPr>
  </w:style>
  <w:style w:type="paragraph" w:styleId="Header">
    <w:name w:val="header"/>
    <w:basedOn w:val="Normal"/>
    <w:link w:val="HeaderChar"/>
    <w:uiPriority w:val="99"/>
    <w:rsid w:val="007317BD"/>
    <w:pPr>
      <w:tabs>
        <w:tab w:val="center" w:pos="4819"/>
        <w:tab w:val="right" w:pos="9638"/>
      </w:tabs>
    </w:pPr>
  </w:style>
  <w:style w:type="character" w:customStyle="1" w:styleId="HeaderChar">
    <w:name w:val="Header Char"/>
    <w:basedOn w:val="DefaultParagraphFont"/>
    <w:link w:val="Header"/>
    <w:uiPriority w:val="99"/>
    <w:locked/>
    <w:rsid w:val="007317BD"/>
    <w:rPr>
      <w:rFonts w:cs="Times New Roman"/>
    </w:rPr>
  </w:style>
  <w:style w:type="paragraph" w:customStyle="1" w:styleId="Corpotesto1">
    <w:name w:val="Corpo testo1"/>
    <w:basedOn w:val="Normal"/>
    <w:uiPriority w:val="99"/>
    <w:rsid w:val="00643AF2"/>
    <w:pPr>
      <w:spacing w:before="240"/>
      <w:ind w:left="907"/>
      <w:jc w:val="both"/>
    </w:pPr>
    <w:rPr>
      <w:sz w:val="24"/>
    </w:rPr>
  </w:style>
  <w:style w:type="paragraph" w:styleId="ListParagraph">
    <w:name w:val="List Paragraph"/>
    <w:basedOn w:val="Normal"/>
    <w:uiPriority w:val="99"/>
    <w:qFormat/>
    <w:rsid w:val="00643AF2"/>
    <w:pPr>
      <w:spacing w:after="200" w:line="276" w:lineRule="auto"/>
      <w:ind w:left="720"/>
      <w:contextualSpacing/>
    </w:pPr>
    <w:rPr>
      <w:rFonts w:ascii="Calibri" w:hAnsi="Calibri"/>
      <w:sz w:val="22"/>
      <w:szCs w:val="22"/>
      <w:lang w:eastAsia="en-US"/>
    </w:rPr>
  </w:style>
  <w:style w:type="character" w:styleId="IntenseEmphasis">
    <w:name w:val="Intense Emphasis"/>
    <w:basedOn w:val="DefaultParagraphFont"/>
    <w:uiPriority w:val="99"/>
    <w:qFormat/>
    <w:rsid w:val="0015496E"/>
    <w:rPr>
      <w:rFonts w:cs="Times New Roman"/>
      <w:b/>
      <w:bCs/>
      <w:i/>
      <w:iCs/>
      <w:color w:val="4F81BD"/>
    </w:rPr>
  </w:style>
</w:styles>
</file>

<file path=word/webSettings.xml><?xml version="1.0" encoding="utf-8"?>
<w:webSettings xmlns:r="http://schemas.openxmlformats.org/officeDocument/2006/relationships" xmlns:w="http://schemas.openxmlformats.org/wordprocessingml/2006/main">
  <w:divs>
    <w:div w:id="38357900">
      <w:marLeft w:val="0"/>
      <w:marRight w:val="0"/>
      <w:marTop w:val="0"/>
      <w:marBottom w:val="0"/>
      <w:divBdr>
        <w:top w:val="none" w:sz="0" w:space="0" w:color="auto"/>
        <w:left w:val="none" w:sz="0" w:space="0" w:color="auto"/>
        <w:bottom w:val="none" w:sz="0" w:space="0" w:color="auto"/>
        <w:right w:val="none" w:sz="0" w:space="0" w:color="auto"/>
      </w:divBdr>
    </w:div>
    <w:div w:id="38357901">
      <w:marLeft w:val="75"/>
      <w:marRight w:val="75"/>
      <w:marTop w:val="75"/>
      <w:marBottom w:val="75"/>
      <w:divBdr>
        <w:top w:val="none" w:sz="0" w:space="0" w:color="auto"/>
        <w:left w:val="none" w:sz="0" w:space="0" w:color="auto"/>
        <w:bottom w:val="none" w:sz="0" w:space="0" w:color="auto"/>
        <w:right w:val="none" w:sz="0" w:space="0" w:color="auto"/>
      </w:divBdr>
    </w:div>
    <w:div w:id="38357902">
      <w:marLeft w:val="0"/>
      <w:marRight w:val="0"/>
      <w:marTop w:val="0"/>
      <w:marBottom w:val="0"/>
      <w:divBdr>
        <w:top w:val="none" w:sz="0" w:space="0" w:color="auto"/>
        <w:left w:val="none" w:sz="0" w:space="0" w:color="auto"/>
        <w:bottom w:val="none" w:sz="0" w:space="0" w:color="auto"/>
        <w:right w:val="none" w:sz="0" w:space="0" w:color="auto"/>
      </w:divBdr>
    </w:div>
    <w:div w:id="38357903">
      <w:marLeft w:val="75"/>
      <w:marRight w:val="75"/>
      <w:marTop w:val="75"/>
      <w:marBottom w:val="75"/>
      <w:divBdr>
        <w:top w:val="none" w:sz="0" w:space="0" w:color="auto"/>
        <w:left w:val="none" w:sz="0" w:space="0" w:color="auto"/>
        <w:bottom w:val="none" w:sz="0" w:space="0" w:color="auto"/>
        <w:right w:val="none" w:sz="0" w:space="0" w:color="auto"/>
      </w:divBdr>
    </w:div>
    <w:div w:id="38357904">
      <w:marLeft w:val="75"/>
      <w:marRight w:val="75"/>
      <w:marTop w:val="75"/>
      <w:marBottom w:val="75"/>
      <w:divBdr>
        <w:top w:val="none" w:sz="0" w:space="0" w:color="auto"/>
        <w:left w:val="none" w:sz="0" w:space="0" w:color="auto"/>
        <w:bottom w:val="none" w:sz="0" w:space="0" w:color="auto"/>
        <w:right w:val="none" w:sz="0" w:space="0" w:color="auto"/>
      </w:divBdr>
    </w:div>
    <w:div w:id="38357905">
      <w:marLeft w:val="0"/>
      <w:marRight w:val="0"/>
      <w:marTop w:val="0"/>
      <w:marBottom w:val="0"/>
      <w:divBdr>
        <w:top w:val="none" w:sz="0" w:space="0" w:color="auto"/>
        <w:left w:val="none" w:sz="0" w:space="0" w:color="auto"/>
        <w:bottom w:val="none" w:sz="0" w:space="0" w:color="auto"/>
        <w:right w:val="none" w:sz="0" w:space="0" w:color="auto"/>
      </w:divBdr>
    </w:div>
    <w:div w:id="38357906">
      <w:marLeft w:val="0"/>
      <w:marRight w:val="0"/>
      <w:marTop w:val="0"/>
      <w:marBottom w:val="0"/>
      <w:divBdr>
        <w:top w:val="none" w:sz="0" w:space="0" w:color="auto"/>
        <w:left w:val="none" w:sz="0" w:space="0" w:color="auto"/>
        <w:bottom w:val="none" w:sz="0" w:space="0" w:color="auto"/>
        <w:right w:val="none" w:sz="0" w:space="0" w:color="auto"/>
      </w:divBdr>
    </w:div>
    <w:div w:id="38357907">
      <w:marLeft w:val="0"/>
      <w:marRight w:val="0"/>
      <w:marTop w:val="0"/>
      <w:marBottom w:val="0"/>
      <w:divBdr>
        <w:top w:val="none" w:sz="0" w:space="0" w:color="auto"/>
        <w:left w:val="none" w:sz="0" w:space="0" w:color="auto"/>
        <w:bottom w:val="none" w:sz="0" w:space="0" w:color="auto"/>
        <w:right w:val="none" w:sz="0" w:space="0" w:color="auto"/>
      </w:divBdr>
    </w:div>
    <w:div w:id="383579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3</Pages>
  <Words>930</Words>
  <Characters>5307</Characters>
  <Application>Microsoft Office Outlook</Application>
  <DocSecurity>0</DocSecurity>
  <Lines>0</Lines>
  <Paragraphs>0</Paragraphs>
  <ScaleCrop>false</ScaleCrop>
  <Company>IV dip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dell’Economia e delle Finanze</dc:title>
  <dc:subject/>
  <dc:creator>tiziana.tempesta</dc:creator>
  <cp:keywords/>
  <dc:description/>
  <cp:lastModifiedBy>reitano</cp:lastModifiedBy>
  <cp:revision>2</cp:revision>
  <cp:lastPrinted>2014-05-07T11:11:00Z</cp:lastPrinted>
  <dcterms:created xsi:type="dcterms:W3CDTF">2014-05-19T10:01:00Z</dcterms:created>
  <dcterms:modified xsi:type="dcterms:W3CDTF">2014-05-19T10:01:00Z</dcterms:modified>
</cp:coreProperties>
</file>